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9D1B" w14:textId="77777777" w:rsidR="00741057" w:rsidRDefault="00741057" w:rsidP="00093DBE"/>
    <w:p w14:paraId="5B354BA5" w14:textId="77777777" w:rsidR="00741057" w:rsidRDefault="00741057" w:rsidP="00093DBE"/>
    <w:p w14:paraId="0F2FFDC4" w14:textId="77777777" w:rsidR="00741057" w:rsidRDefault="00741057" w:rsidP="00093DBE"/>
    <w:p w14:paraId="18A87D4E" w14:textId="77777777" w:rsidR="00741057" w:rsidRDefault="00741057" w:rsidP="00093DBE"/>
    <w:p w14:paraId="13925DDB" w14:textId="77777777" w:rsidR="00741057" w:rsidRDefault="00741057" w:rsidP="00184620"/>
    <w:p w14:paraId="218B22BF" w14:textId="77777777" w:rsidR="00184620" w:rsidRDefault="00184620" w:rsidP="00184620"/>
    <w:p w14:paraId="18EDC66C" w14:textId="77777777" w:rsidR="00184620" w:rsidRDefault="00184620" w:rsidP="00184620"/>
    <w:p w14:paraId="5741754B" w14:textId="7D050094" w:rsidR="006C7D4B" w:rsidRPr="00093DBE" w:rsidRDefault="00883A1D" w:rsidP="00093DBE">
      <w:pPr>
        <w:pStyle w:val="Heading1"/>
        <w:spacing w:after="0"/>
        <w:ind w:right="-199"/>
        <w:rPr>
          <w:color w:val="602365"/>
        </w:rPr>
      </w:pPr>
      <w:r>
        <w:rPr>
          <w:noProof/>
        </w:rPr>
        <w:drawing>
          <wp:anchor distT="0" distB="0" distL="114300" distR="114300" simplePos="0" relativeHeight="251658240" behindDoc="0" locked="0" layoutInCell="1" allowOverlap="1" wp14:anchorId="744E55DE" wp14:editId="1A293FA8">
            <wp:simplePos x="0" y="0"/>
            <wp:positionH relativeFrom="margin">
              <wp:posOffset>-190500</wp:posOffset>
            </wp:positionH>
            <wp:positionV relativeFrom="page">
              <wp:posOffset>667385</wp:posOffset>
            </wp:positionV>
            <wp:extent cx="3091815" cy="612140"/>
            <wp:effectExtent l="0" t="0" r="0" b="0"/>
            <wp:wrapNone/>
            <wp:docPr id="109160359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1815" cy="612140"/>
                    </a:xfrm>
                    <a:prstGeom prst="rect">
                      <a:avLst/>
                    </a:prstGeom>
                  </pic:spPr>
                </pic:pic>
              </a:graphicData>
            </a:graphic>
            <wp14:sizeRelH relativeFrom="page">
              <wp14:pctWidth>0</wp14:pctWidth>
            </wp14:sizeRelH>
            <wp14:sizeRelV relativeFrom="page">
              <wp14:pctHeight>0</wp14:pctHeight>
            </wp14:sizeRelV>
          </wp:anchor>
        </w:drawing>
      </w:r>
      <w:r w:rsidRPr="00093DBE">
        <w:rPr>
          <w:color w:val="602365"/>
        </w:rPr>
        <w:t xml:space="preserve">Guidance to </w:t>
      </w:r>
      <w:r w:rsidR="00FC43F8" w:rsidRPr="1F3D0C63">
        <w:rPr>
          <w:color w:val="602365"/>
        </w:rPr>
        <w:t>submitting</w:t>
      </w:r>
      <w:r w:rsidR="00FC43F8">
        <w:rPr>
          <w:color w:val="602365"/>
        </w:rPr>
        <w:t xml:space="preserve"> companies</w:t>
      </w:r>
      <w:r w:rsidR="00732BF6">
        <w:rPr>
          <w:color w:val="602365"/>
        </w:rPr>
        <w:t>:</w:t>
      </w:r>
    </w:p>
    <w:p w14:paraId="0E246B39" w14:textId="77777777" w:rsidR="00093DBE" w:rsidRDefault="00093DBE" w:rsidP="1F3D0C63">
      <w:pPr>
        <w:rPr>
          <w:rFonts w:asciiTheme="minorHAnsi" w:hAnsiTheme="minorHAnsi" w:cstheme="minorBidi"/>
          <w:color w:val="602365"/>
          <w:sz w:val="40"/>
          <w:szCs w:val="40"/>
          <w:lang w:val="en-US"/>
        </w:rPr>
      </w:pPr>
    </w:p>
    <w:p w14:paraId="0C191ED9" w14:textId="07381904" w:rsidR="00883A1D" w:rsidRDefault="00883A1D" w:rsidP="1F3D0C63">
      <w:pPr>
        <w:rPr>
          <w:rFonts w:asciiTheme="minorHAnsi" w:hAnsiTheme="minorHAnsi" w:cstheme="minorBidi"/>
          <w:color w:val="602365"/>
          <w:sz w:val="40"/>
          <w:szCs w:val="40"/>
          <w:lang w:val="en-US"/>
        </w:rPr>
      </w:pPr>
      <w:r w:rsidRPr="00093DBE">
        <w:rPr>
          <w:rFonts w:asciiTheme="minorHAnsi" w:hAnsiTheme="minorHAnsi" w:cstheme="minorBidi"/>
          <w:color w:val="602365"/>
          <w:sz w:val="40"/>
          <w:szCs w:val="40"/>
          <w:lang w:val="en-US"/>
        </w:rPr>
        <w:t xml:space="preserve">Question and answer </w:t>
      </w:r>
      <w:r w:rsidR="00EE7F8D" w:rsidRPr="00093DBE">
        <w:rPr>
          <w:rFonts w:asciiTheme="minorHAnsi" w:hAnsiTheme="minorHAnsi" w:cstheme="minorBidi"/>
          <w:color w:val="602365"/>
          <w:sz w:val="40"/>
          <w:szCs w:val="40"/>
          <w:lang w:val="en-US"/>
        </w:rPr>
        <w:t>document</w:t>
      </w:r>
      <w:r w:rsidRPr="00093DBE">
        <w:rPr>
          <w:rFonts w:asciiTheme="minorHAnsi" w:hAnsiTheme="minorHAnsi" w:cstheme="minorBidi"/>
          <w:color w:val="602365"/>
          <w:sz w:val="40"/>
          <w:szCs w:val="40"/>
          <w:lang w:val="en-US"/>
        </w:rPr>
        <w:t xml:space="preserve"> </w:t>
      </w:r>
      <w:r w:rsidR="00EE7F8D" w:rsidRPr="00093DBE">
        <w:rPr>
          <w:rFonts w:asciiTheme="minorHAnsi" w:hAnsiTheme="minorHAnsi" w:cstheme="minorBidi"/>
          <w:color w:val="602365"/>
          <w:sz w:val="40"/>
          <w:szCs w:val="40"/>
          <w:lang w:val="en-US"/>
        </w:rPr>
        <w:t>on economic submissions to the Scottish Medicines Consortium</w:t>
      </w:r>
    </w:p>
    <w:p w14:paraId="33D0C6A3" w14:textId="77777777" w:rsidR="00EE7F8D" w:rsidRDefault="00EE7F8D" w:rsidP="1F3D0C63">
      <w:pPr>
        <w:rPr>
          <w:rFonts w:asciiTheme="minorHAnsi" w:hAnsiTheme="minorHAnsi" w:cstheme="minorBidi"/>
          <w:color w:val="602365"/>
          <w:sz w:val="40"/>
          <w:szCs w:val="40"/>
          <w:lang w:val="en-US"/>
        </w:rPr>
      </w:pPr>
    </w:p>
    <w:p w14:paraId="40516778" w14:textId="0C5C2EA0" w:rsidR="00093DBE" w:rsidRDefault="00A06121" w:rsidP="00093DBE">
      <w:pPr>
        <w:pStyle w:val="BodyText2"/>
        <w:jc w:val="both"/>
        <w:rPr>
          <w:rFonts w:asciiTheme="minorHAnsi" w:hAnsiTheme="minorHAnsi" w:cstheme="minorBidi"/>
        </w:rPr>
      </w:pPr>
      <w:r w:rsidRPr="00093DBE">
        <w:rPr>
          <w:rFonts w:asciiTheme="minorHAnsi" w:hAnsiTheme="minorHAnsi" w:cstheme="minorBidi"/>
        </w:rPr>
        <w:t xml:space="preserve">This document is provided to give general guidance to </w:t>
      </w:r>
      <w:r w:rsidR="00365E3A" w:rsidRPr="24F8E339">
        <w:rPr>
          <w:rFonts w:asciiTheme="minorHAnsi" w:hAnsiTheme="minorHAnsi" w:cstheme="minorBidi"/>
        </w:rPr>
        <w:t>submitting companies</w:t>
      </w:r>
      <w:r w:rsidRPr="24F8E339">
        <w:rPr>
          <w:rFonts w:asciiTheme="minorHAnsi" w:hAnsiTheme="minorHAnsi" w:cstheme="minorBidi"/>
        </w:rPr>
        <w:t xml:space="preserve"> making submissions to SMC</w:t>
      </w:r>
      <w:r w:rsidR="0078658C" w:rsidRPr="24F8E339">
        <w:rPr>
          <w:rFonts w:asciiTheme="minorHAnsi" w:hAnsiTheme="minorHAnsi" w:cstheme="minorBidi"/>
        </w:rPr>
        <w:t xml:space="preserve"> and should be read in conjunction with the most recent version of the SMC Guidance to </w:t>
      </w:r>
      <w:r w:rsidR="72CDFCB9" w:rsidRPr="24F8E339">
        <w:rPr>
          <w:rFonts w:asciiTheme="minorHAnsi" w:hAnsiTheme="minorHAnsi" w:cstheme="minorBidi"/>
        </w:rPr>
        <w:t xml:space="preserve">Submitting Companies for Completion of the New Product Assessment Form </w:t>
      </w:r>
      <w:r w:rsidR="0078658C" w:rsidRPr="00093DBE">
        <w:rPr>
          <w:rFonts w:asciiTheme="minorHAnsi" w:hAnsiTheme="minorHAnsi" w:cstheme="minorBidi"/>
        </w:rPr>
        <w:t>document available on the SMC website</w:t>
      </w:r>
      <w:r w:rsidRPr="00093DBE">
        <w:rPr>
          <w:rFonts w:asciiTheme="minorHAnsi" w:hAnsiTheme="minorHAnsi" w:cstheme="minorBidi"/>
        </w:rPr>
        <w:t>. Following the advice provides no assurance of getting a positive re</w:t>
      </w:r>
      <w:r w:rsidR="00F758E9" w:rsidRPr="00093DBE">
        <w:rPr>
          <w:rFonts w:asciiTheme="minorHAnsi" w:hAnsiTheme="minorHAnsi" w:cstheme="minorBidi"/>
        </w:rPr>
        <w:t>commendation</w:t>
      </w:r>
      <w:r w:rsidRPr="00093DBE">
        <w:rPr>
          <w:rFonts w:asciiTheme="minorHAnsi" w:hAnsiTheme="minorHAnsi" w:cstheme="minorBidi"/>
        </w:rPr>
        <w:t xml:space="preserve">. Where a </w:t>
      </w:r>
      <w:r w:rsidR="00A4657D" w:rsidRPr="24F8E339">
        <w:rPr>
          <w:rFonts w:asciiTheme="minorHAnsi" w:hAnsiTheme="minorHAnsi" w:cstheme="minorBidi"/>
        </w:rPr>
        <w:t>submitting company</w:t>
      </w:r>
      <w:r w:rsidRPr="24F8E339">
        <w:rPr>
          <w:rFonts w:asciiTheme="minorHAnsi" w:hAnsiTheme="minorHAnsi" w:cstheme="minorBidi"/>
        </w:rPr>
        <w:t xml:space="preserve"> is in doubt</w:t>
      </w:r>
      <w:r w:rsidR="00F758E9" w:rsidRPr="24F8E339">
        <w:rPr>
          <w:rFonts w:asciiTheme="minorHAnsi" w:hAnsiTheme="minorHAnsi" w:cstheme="minorBidi"/>
        </w:rPr>
        <w:t xml:space="preserve"> about any aspect of the submission requirements</w:t>
      </w:r>
      <w:r w:rsidRPr="24F8E339">
        <w:rPr>
          <w:rFonts w:asciiTheme="minorHAnsi" w:hAnsiTheme="minorHAnsi" w:cstheme="minorBidi"/>
        </w:rPr>
        <w:t>, they should contact the SMC Secretariat for guidance.</w:t>
      </w:r>
    </w:p>
    <w:p w14:paraId="7A345BE2" w14:textId="77777777" w:rsidR="00093DBE" w:rsidRDefault="00093DBE" w:rsidP="00093DBE">
      <w:pPr>
        <w:pStyle w:val="BodyText2"/>
        <w:jc w:val="both"/>
        <w:rPr>
          <w:rFonts w:asciiTheme="minorHAnsi" w:hAnsiTheme="minorHAnsi" w:cstheme="minorBidi"/>
        </w:rPr>
      </w:pPr>
    </w:p>
    <w:p w14:paraId="658957F0" w14:textId="0DFB3BDE" w:rsidR="00A06121" w:rsidRPr="00093DBE" w:rsidRDefault="00A06121" w:rsidP="00093DBE">
      <w:pPr>
        <w:pStyle w:val="BodyText2"/>
        <w:jc w:val="both"/>
        <w:rPr>
          <w:rFonts w:asciiTheme="minorHAnsi" w:hAnsiTheme="minorHAnsi" w:cstheme="minorBidi"/>
          <w:b w:val="0"/>
          <w:i/>
          <w:iCs/>
        </w:rPr>
      </w:pPr>
      <w:r w:rsidRPr="24F8E339">
        <w:rPr>
          <w:rFonts w:asciiTheme="minorHAnsi" w:hAnsiTheme="minorHAnsi" w:cstheme="minorBidi"/>
          <w:i/>
          <w:iCs/>
        </w:rPr>
        <w:t>Does an SMC submission always require an economic evaluation?</w:t>
      </w:r>
    </w:p>
    <w:p w14:paraId="658957F1" w14:textId="77777777" w:rsidR="00A06121" w:rsidRPr="00093DBE" w:rsidRDefault="00A06121">
      <w:pPr>
        <w:jc w:val="both"/>
        <w:rPr>
          <w:rFonts w:asciiTheme="minorHAnsi" w:hAnsiTheme="minorHAnsi" w:cstheme="minorHAnsi"/>
          <w:b/>
          <w:i/>
        </w:rPr>
      </w:pPr>
    </w:p>
    <w:p w14:paraId="7417FDBD" w14:textId="16A8B3E3" w:rsidR="00956386" w:rsidRDefault="00A06121" w:rsidP="1F3D0C63">
      <w:pPr>
        <w:jc w:val="both"/>
        <w:rPr>
          <w:rFonts w:asciiTheme="minorHAnsi" w:hAnsiTheme="minorHAnsi" w:cstheme="minorBidi"/>
        </w:rPr>
      </w:pPr>
      <w:r w:rsidRPr="24F8E339">
        <w:rPr>
          <w:rFonts w:asciiTheme="minorHAnsi" w:hAnsiTheme="minorHAnsi" w:cstheme="minorBidi"/>
        </w:rPr>
        <w:t xml:space="preserve">The fundamental task of the SMC is to recommend whether a </w:t>
      </w:r>
      <w:r w:rsidR="00F92611" w:rsidRPr="24F8E339">
        <w:rPr>
          <w:rFonts w:asciiTheme="minorHAnsi" w:hAnsiTheme="minorHAnsi" w:cstheme="minorBidi"/>
        </w:rPr>
        <w:t>medicine</w:t>
      </w:r>
      <w:r w:rsidRPr="00093DBE">
        <w:rPr>
          <w:rFonts w:asciiTheme="minorHAnsi" w:hAnsiTheme="minorHAnsi" w:cstheme="minorBidi"/>
        </w:rPr>
        <w:t xml:space="preserve"> should be </w:t>
      </w:r>
      <w:r w:rsidR="000C5F69" w:rsidRPr="24F8E339">
        <w:rPr>
          <w:rFonts w:asciiTheme="minorHAnsi" w:hAnsiTheme="minorHAnsi" w:cstheme="minorBidi"/>
        </w:rPr>
        <w:t xml:space="preserve">routinely </w:t>
      </w:r>
      <w:r w:rsidRPr="00093DBE">
        <w:rPr>
          <w:rFonts w:asciiTheme="minorHAnsi" w:hAnsiTheme="minorHAnsi" w:cstheme="minorBidi"/>
        </w:rPr>
        <w:t xml:space="preserve">used in Scotland by </w:t>
      </w:r>
      <w:r w:rsidR="00F653A7" w:rsidRPr="24F8E339">
        <w:rPr>
          <w:rFonts w:asciiTheme="minorHAnsi" w:hAnsiTheme="minorHAnsi" w:cstheme="minorBidi"/>
        </w:rPr>
        <w:t xml:space="preserve">understanding whether it represents a good use of </w:t>
      </w:r>
      <w:r w:rsidR="00F13C0D" w:rsidRPr="24F8E339">
        <w:rPr>
          <w:rFonts w:asciiTheme="minorHAnsi" w:hAnsiTheme="minorHAnsi" w:cstheme="minorBidi"/>
        </w:rPr>
        <w:t xml:space="preserve">NHS </w:t>
      </w:r>
      <w:r w:rsidR="00F653A7" w:rsidRPr="24F8E339">
        <w:rPr>
          <w:rFonts w:asciiTheme="minorHAnsi" w:hAnsiTheme="minorHAnsi" w:cstheme="minorBidi"/>
        </w:rPr>
        <w:t xml:space="preserve">resources. </w:t>
      </w:r>
      <w:r w:rsidR="00631A21" w:rsidRPr="24F8E339">
        <w:rPr>
          <w:rFonts w:asciiTheme="minorHAnsi" w:hAnsiTheme="minorHAnsi" w:cstheme="minorBidi"/>
        </w:rPr>
        <w:t xml:space="preserve">SMC conducts various types of </w:t>
      </w:r>
      <w:r w:rsidR="00FD515E" w:rsidRPr="24F8E339">
        <w:rPr>
          <w:rFonts w:asciiTheme="minorHAnsi" w:hAnsiTheme="minorHAnsi" w:cstheme="minorBidi"/>
        </w:rPr>
        <w:t>appraisals</w:t>
      </w:r>
      <w:r w:rsidR="002E7D8E" w:rsidRPr="24F8E339">
        <w:rPr>
          <w:rFonts w:asciiTheme="minorHAnsi" w:hAnsiTheme="minorHAnsi" w:cstheme="minorBidi"/>
        </w:rPr>
        <w:t xml:space="preserve">, which it looks to match to the characteristics and circumstances of the medicine under review. The following types of </w:t>
      </w:r>
      <w:r w:rsidR="00FD515E" w:rsidRPr="24F8E339">
        <w:rPr>
          <w:rFonts w:asciiTheme="minorHAnsi" w:hAnsiTheme="minorHAnsi" w:cstheme="minorBidi"/>
        </w:rPr>
        <w:t>appraisals</w:t>
      </w:r>
      <w:r w:rsidR="002E7D8E" w:rsidRPr="24F8E339">
        <w:rPr>
          <w:rFonts w:asciiTheme="minorHAnsi" w:hAnsiTheme="minorHAnsi" w:cstheme="minorBidi"/>
        </w:rPr>
        <w:t xml:space="preserve"> require a full economic </w:t>
      </w:r>
      <w:r w:rsidR="007B644B" w:rsidRPr="24F8E339">
        <w:rPr>
          <w:rFonts w:asciiTheme="minorHAnsi" w:hAnsiTheme="minorHAnsi" w:cstheme="minorBidi"/>
        </w:rPr>
        <w:t>evaluation:</w:t>
      </w:r>
    </w:p>
    <w:p w14:paraId="6DB2C936" w14:textId="77777777" w:rsidR="00FD515E" w:rsidRDefault="00FD515E" w:rsidP="1F3D0C63">
      <w:pPr>
        <w:jc w:val="both"/>
        <w:rPr>
          <w:rFonts w:asciiTheme="minorHAnsi" w:hAnsiTheme="minorHAnsi" w:cstheme="minorBidi"/>
        </w:rPr>
      </w:pPr>
    </w:p>
    <w:p w14:paraId="1A78B2FA" w14:textId="3149FA3A" w:rsidR="007B644B" w:rsidRDefault="00841DA2" w:rsidP="1F3D0C63">
      <w:pPr>
        <w:pStyle w:val="ListParagraph"/>
        <w:numPr>
          <w:ilvl w:val="0"/>
          <w:numId w:val="5"/>
        </w:numPr>
        <w:jc w:val="both"/>
        <w:rPr>
          <w:rFonts w:asciiTheme="minorHAnsi" w:hAnsiTheme="minorHAnsi" w:cstheme="minorBidi"/>
        </w:rPr>
      </w:pPr>
      <w:r w:rsidRPr="1F3D0C63">
        <w:rPr>
          <w:rFonts w:asciiTheme="minorHAnsi" w:hAnsiTheme="minorHAnsi" w:cstheme="minorBidi"/>
        </w:rPr>
        <w:t>f</w:t>
      </w:r>
      <w:r w:rsidR="007B644B" w:rsidRPr="1F3D0C63">
        <w:rPr>
          <w:rFonts w:asciiTheme="minorHAnsi" w:hAnsiTheme="minorHAnsi" w:cstheme="minorBidi"/>
        </w:rPr>
        <w:t>ull submission</w:t>
      </w:r>
    </w:p>
    <w:p w14:paraId="59AA4093" w14:textId="3DC841C8" w:rsidR="007B644B" w:rsidRDefault="00841DA2" w:rsidP="1F3D0C63">
      <w:pPr>
        <w:pStyle w:val="ListParagraph"/>
        <w:numPr>
          <w:ilvl w:val="0"/>
          <w:numId w:val="5"/>
        </w:numPr>
        <w:jc w:val="both"/>
        <w:rPr>
          <w:rFonts w:asciiTheme="minorHAnsi" w:hAnsiTheme="minorHAnsi" w:cstheme="minorBidi"/>
        </w:rPr>
      </w:pPr>
      <w:r w:rsidRPr="1F3D0C63">
        <w:rPr>
          <w:rFonts w:asciiTheme="minorHAnsi" w:hAnsiTheme="minorHAnsi" w:cstheme="minorBidi"/>
        </w:rPr>
        <w:t>r</w:t>
      </w:r>
      <w:r w:rsidR="00C47C1D" w:rsidRPr="1F3D0C63">
        <w:rPr>
          <w:rFonts w:asciiTheme="minorHAnsi" w:hAnsiTheme="minorHAnsi" w:cstheme="minorBidi"/>
        </w:rPr>
        <w:t>esubmission</w:t>
      </w:r>
    </w:p>
    <w:p w14:paraId="045B74AF" w14:textId="2FA138AC" w:rsidR="00C47C1D" w:rsidRDefault="00841DA2" w:rsidP="1F3D0C63">
      <w:pPr>
        <w:pStyle w:val="ListParagraph"/>
        <w:numPr>
          <w:ilvl w:val="0"/>
          <w:numId w:val="5"/>
        </w:numPr>
        <w:jc w:val="both"/>
        <w:rPr>
          <w:rFonts w:asciiTheme="minorHAnsi" w:hAnsiTheme="minorHAnsi" w:cstheme="minorBidi"/>
        </w:rPr>
      </w:pPr>
      <w:r w:rsidRPr="1F3D0C63">
        <w:rPr>
          <w:rFonts w:asciiTheme="minorHAnsi" w:hAnsiTheme="minorHAnsi" w:cstheme="minorBidi"/>
        </w:rPr>
        <w:t>u</w:t>
      </w:r>
      <w:r w:rsidR="00C47C1D" w:rsidRPr="1F3D0C63">
        <w:rPr>
          <w:rFonts w:asciiTheme="minorHAnsi" w:hAnsiTheme="minorHAnsi" w:cstheme="minorBidi"/>
        </w:rPr>
        <w:t>ltra-orphan initial assessment</w:t>
      </w:r>
    </w:p>
    <w:p w14:paraId="775AAD0A" w14:textId="488AAB4D" w:rsidR="00C47C1D" w:rsidRPr="00093DBE" w:rsidRDefault="00841DA2" w:rsidP="1F3D0C63">
      <w:pPr>
        <w:pStyle w:val="ListParagraph"/>
        <w:numPr>
          <w:ilvl w:val="0"/>
          <w:numId w:val="5"/>
        </w:numPr>
        <w:jc w:val="both"/>
        <w:rPr>
          <w:rFonts w:asciiTheme="minorHAnsi" w:hAnsiTheme="minorHAnsi" w:cstheme="minorBidi"/>
        </w:rPr>
      </w:pPr>
      <w:r w:rsidRPr="1F3D0C63">
        <w:rPr>
          <w:rFonts w:asciiTheme="minorHAnsi" w:hAnsiTheme="minorHAnsi" w:cstheme="minorBidi"/>
        </w:rPr>
        <w:t>u</w:t>
      </w:r>
      <w:r w:rsidR="00C47C1D" w:rsidRPr="1F3D0C63">
        <w:rPr>
          <w:rFonts w:asciiTheme="minorHAnsi" w:hAnsiTheme="minorHAnsi" w:cstheme="minorBidi"/>
        </w:rPr>
        <w:t>ltra-orphan reassessment</w:t>
      </w:r>
    </w:p>
    <w:p w14:paraId="50C3DDB8" w14:textId="77777777" w:rsidR="00956386" w:rsidRDefault="00956386" w:rsidP="1F3D0C63">
      <w:pPr>
        <w:jc w:val="both"/>
        <w:rPr>
          <w:rFonts w:asciiTheme="minorHAnsi" w:hAnsiTheme="minorHAnsi" w:cstheme="minorBidi"/>
        </w:rPr>
      </w:pPr>
    </w:p>
    <w:p w14:paraId="658957F2" w14:textId="48C718D9" w:rsidR="00A06121" w:rsidRPr="00093DBE" w:rsidRDefault="0002057B" w:rsidP="1F3D0C63">
      <w:pPr>
        <w:jc w:val="both"/>
        <w:rPr>
          <w:rFonts w:asciiTheme="minorHAnsi" w:hAnsiTheme="minorHAnsi" w:cstheme="minorBidi"/>
        </w:rPr>
      </w:pPr>
      <w:r w:rsidRPr="24F8E339">
        <w:rPr>
          <w:rFonts w:asciiTheme="minorHAnsi" w:hAnsiTheme="minorHAnsi" w:cstheme="minorBidi"/>
        </w:rPr>
        <w:t xml:space="preserve">In these </w:t>
      </w:r>
      <w:r w:rsidR="00625DDD" w:rsidRPr="24F8E339">
        <w:rPr>
          <w:rFonts w:asciiTheme="minorHAnsi" w:hAnsiTheme="minorHAnsi" w:cstheme="minorBidi"/>
        </w:rPr>
        <w:t>cases,</w:t>
      </w:r>
      <w:r w:rsidRPr="24F8E339">
        <w:rPr>
          <w:rFonts w:asciiTheme="minorHAnsi" w:hAnsiTheme="minorHAnsi" w:cstheme="minorBidi"/>
        </w:rPr>
        <w:t xml:space="preserve"> </w:t>
      </w:r>
      <w:r w:rsidR="00625DDD" w:rsidRPr="24F8E339">
        <w:rPr>
          <w:rFonts w:asciiTheme="minorHAnsi" w:hAnsiTheme="minorHAnsi" w:cstheme="minorBidi"/>
        </w:rPr>
        <w:t xml:space="preserve">the submission should </w:t>
      </w:r>
      <w:r w:rsidR="00A06121" w:rsidRPr="00093DBE">
        <w:rPr>
          <w:rFonts w:asciiTheme="minorHAnsi" w:hAnsiTheme="minorHAnsi" w:cstheme="minorBidi"/>
        </w:rPr>
        <w:t>compar</w:t>
      </w:r>
      <w:r w:rsidR="00625DDD" w:rsidRPr="24F8E339">
        <w:rPr>
          <w:rFonts w:asciiTheme="minorHAnsi" w:hAnsiTheme="minorHAnsi" w:cstheme="minorBidi"/>
        </w:rPr>
        <w:t xml:space="preserve">e a medicine’s </w:t>
      </w:r>
      <w:r w:rsidR="00A06121" w:rsidRPr="24F8E339">
        <w:rPr>
          <w:rFonts w:asciiTheme="minorHAnsi" w:hAnsiTheme="minorHAnsi" w:cstheme="minorBidi"/>
        </w:rPr>
        <w:t>clinical and cost</w:t>
      </w:r>
      <w:r w:rsidR="00BE2341" w:rsidRPr="24F8E339">
        <w:rPr>
          <w:rFonts w:asciiTheme="minorHAnsi" w:hAnsiTheme="minorHAnsi" w:cstheme="minorBidi"/>
        </w:rPr>
        <w:t>-</w:t>
      </w:r>
      <w:r w:rsidR="00A06121" w:rsidRPr="24F8E339">
        <w:rPr>
          <w:rFonts w:asciiTheme="minorHAnsi" w:hAnsiTheme="minorHAnsi" w:cstheme="minorBidi"/>
        </w:rPr>
        <w:t xml:space="preserve">effectiveness with the practice that would be displaced. SMC recognises that the clinical data may be less extensive for some </w:t>
      </w:r>
      <w:r w:rsidR="00B838CF" w:rsidRPr="24F8E339">
        <w:rPr>
          <w:rFonts w:asciiTheme="minorHAnsi" w:hAnsiTheme="minorHAnsi" w:cstheme="minorBidi"/>
        </w:rPr>
        <w:t>medicines</w:t>
      </w:r>
      <w:r w:rsidR="00625DDD" w:rsidRPr="24F8E339">
        <w:rPr>
          <w:rFonts w:asciiTheme="minorHAnsi" w:hAnsiTheme="minorHAnsi" w:cstheme="minorBidi"/>
        </w:rPr>
        <w:t xml:space="preserve">, such as those classed </w:t>
      </w:r>
      <w:r w:rsidR="00C84F04" w:rsidRPr="24F8E339">
        <w:rPr>
          <w:rFonts w:asciiTheme="minorHAnsi" w:hAnsiTheme="minorHAnsi" w:cstheme="minorBidi"/>
        </w:rPr>
        <w:t>as orphan or ultra-orphan</w:t>
      </w:r>
      <w:r w:rsidR="00A06121" w:rsidRPr="24F8E339">
        <w:rPr>
          <w:rFonts w:asciiTheme="minorHAnsi" w:hAnsiTheme="minorHAnsi" w:cstheme="minorBidi"/>
        </w:rPr>
        <w:t>. However, evidence to enable the clinical and patient benefits to be compared with costs, over an adequate timeframe, are still essential to inform SMC’s decision making.</w:t>
      </w:r>
    </w:p>
    <w:p w14:paraId="4277BA3F" w14:textId="2C33CE72" w:rsidR="00DF0952" w:rsidRPr="00093DBE" w:rsidRDefault="00DF0952" w:rsidP="1F3D0C63">
      <w:pPr>
        <w:jc w:val="both"/>
        <w:rPr>
          <w:rFonts w:asciiTheme="minorHAnsi" w:hAnsiTheme="minorHAnsi" w:cstheme="minorBidi"/>
        </w:rPr>
      </w:pPr>
    </w:p>
    <w:p w14:paraId="0A712817" w14:textId="541A5CDB" w:rsidR="00DF0952" w:rsidRPr="00093DBE" w:rsidRDefault="000408AB" w:rsidP="1F3D0C63">
      <w:pPr>
        <w:jc w:val="both"/>
        <w:rPr>
          <w:rFonts w:asciiTheme="minorHAnsi" w:hAnsiTheme="minorHAnsi" w:cstheme="minorBidi"/>
        </w:rPr>
      </w:pPr>
      <w:r w:rsidRPr="1F3D0C63">
        <w:rPr>
          <w:rFonts w:asciiTheme="minorHAnsi" w:hAnsiTheme="minorHAnsi" w:cstheme="minorBidi"/>
        </w:rPr>
        <w:t xml:space="preserve">When </w:t>
      </w:r>
      <w:r w:rsidR="0093730C" w:rsidRPr="1F3D0C63">
        <w:rPr>
          <w:rFonts w:asciiTheme="minorHAnsi" w:hAnsiTheme="minorHAnsi" w:cstheme="minorBidi"/>
        </w:rPr>
        <w:t xml:space="preserve">a </w:t>
      </w:r>
      <w:r w:rsidR="00CE08ED" w:rsidRPr="1F3D0C63">
        <w:rPr>
          <w:rFonts w:asciiTheme="minorHAnsi" w:hAnsiTheme="minorHAnsi" w:cstheme="minorBidi"/>
        </w:rPr>
        <w:t>submitting c</w:t>
      </w:r>
      <w:r w:rsidR="0093730C" w:rsidRPr="1F3D0C63">
        <w:rPr>
          <w:rFonts w:asciiTheme="minorHAnsi" w:hAnsiTheme="minorHAnsi" w:cstheme="minorBidi"/>
        </w:rPr>
        <w:t xml:space="preserve">ompany can demonstrate that their medicine has a </w:t>
      </w:r>
      <w:r w:rsidR="009E465E" w:rsidRPr="1F3D0C63">
        <w:rPr>
          <w:rFonts w:asciiTheme="minorHAnsi" w:hAnsiTheme="minorHAnsi" w:cstheme="minorBidi"/>
        </w:rPr>
        <w:t xml:space="preserve">low expected budget impact in Scotland and has </w:t>
      </w:r>
      <w:r w:rsidR="005257E9" w:rsidRPr="1F3D0C63">
        <w:rPr>
          <w:rFonts w:asciiTheme="minorHAnsi" w:hAnsiTheme="minorHAnsi" w:cstheme="minorBidi"/>
        </w:rPr>
        <w:t>similar clinical effectiveness to an existing treatment it may qualify for SMC’s abbreviated submission process. In those cases</w:t>
      </w:r>
      <w:r w:rsidR="00703C74" w:rsidRPr="1F3D0C63">
        <w:rPr>
          <w:rFonts w:asciiTheme="minorHAnsi" w:hAnsiTheme="minorHAnsi" w:cstheme="minorBidi"/>
        </w:rPr>
        <w:t>,</w:t>
      </w:r>
      <w:r w:rsidR="005257E9" w:rsidRPr="1F3D0C63">
        <w:rPr>
          <w:rFonts w:asciiTheme="minorHAnsi" w:hAnsiTheme="minorHAnsi" w:cstheme="minorBidi"/>
        </w:rPr>
        <w:t xml:space="preserve"> a </w:t>
      </w:r>
      <w:r w:rsidR="00E26781" w:rsidRPr="1F3D0C63">
        <w:rPr>
          <w:rFonts w:asciiTheme="minorHAnsi" w:hAnsiTheme="minorHAnsi" w:cstheme="minorBidi"/>
        </w:rPr>
        <w:lastRenderedPageBreak/>
        <w:t>full economic evaluation is not required. Further details on the abbreviated submission process are available on the SMC website.</w:t>
      </w:r>
    </w:p>
    <w:p w14:paraId="658957F7" w14:textId="77777777" w:rsidR="00A06121" w:rsidRPr="00093DBE" w:rsidRDefault="00A06121">
      <w:pPr>
        <w:jc w:val="both"/>
        <w:rPr>
          <w:rFonts w:asciiTheme="minorHAnsi" w:hAnsiTheme="minorHAnsi" w:cstheme="minorHAnsi"/>
        </w:rPr>
      </w:pPr>
    </w:p>
    <w:p w14:paraId="658957F8" w14:textId="66CF8830"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Does an SMC submission always require a budget impact assessment?</w:t>
      </w:r>
    </w:p>
    <w:p w14:paraId="658957F9" w14:textId="77777777" w:rsidR="00A06121" w:rsidRPr="00093DBE" w:rsidRDefault="00A06121" w:rsidP="24F8E339">
      <w:pPr>
        <w:jc w:val="both"/>
        <w:rPr>
          <w:rFonts w:asciiTheme="minorHAnsi" w:hAnsiTheme="minorHAnsi" w:cstheme="minorBidi"/>
          <w:b/>
          <w:bCs/>
          <w:i/>
          <w:iCs/>
        </w:rPr>
      </w:pPr>
    </w:p>
    <w:p w14:paraId="658957FA" w14:textId="27857572" w:rsidR="00A06121" w:rsidRDefault="00A06121" w:rsidP="1F3D0C63">
      <w:pPr>
        <w:jc w:val="both"/>
        <w:rPr>
          <w:rFonts w:asciiTheme="minorHAnsi" w:hAnsiTheme="minorHAnsi" w:cstheme="minorBidi"/>
        </w:rPr>
      </w:pPr>
      <w:r w:rsidRPr="24F8E339">
        <w:rPr>
          <w:rFonts w:asciiTheme="minorHAnsi" w:hAnsiTheme="minorHAnsi" w:cstheme="minorBidi"/>
        </w:rPr>
        <w:t>Yes</w:t>
      </w:r>
      <w:r w:rsidR="00852273" w:rsidRPr="24F8E339">
        <w:rPr>
          <w:rFonts w:asciiTheme="minorHAnsi" w:hAnsiTheme="minorHAnsi" w:cstheme="minorBidi"/>
        </w:rPr>
        <w:t>. A</w:t>
      </w:r>
      <w:r w:rsidRPr="24F8E339">
        <w:rPr>
          <w:rFonts w:asciiTheme="minorHAnsi" w:hAnsiTheme="minorHAnsi" w:cstheme="minorBidi"/>
        </w:rPr>
        <w:t xml:space="preserve">n estimate of the budget impact of the </w:t>
      </w:r>
      <w:r w:rsidR="001305B4" w:rsidRPr="24F8E339">
        <w:rPr>
          <w:rFonts w:asciiTheme="minorHAnsi" w:hAnsiTheme="minorHAnsi" w:cstheme="minorBidi"/>
        </w:rPr>
        <w:t>medicine</w:t>
      </w:r>
      <w:r w:rsidRPr="24F8E339">
        <w:rPr>
          <w:rFonts w:asciiTheme="minorHAnsi" w:hAnsiTheme="minorHAnsi" w:cstheme="minorBidi"/>
        </w:rPr>
        <w:t xml:space="preserve"> over a five-year time horizon must be submitted with all applications</w:t>
      </w:r>
      <w:r w:rsidR="00703C74" w:rsidRPr="24F8E339">
        <w:rPr>
          <w:rFonts w:asciiTheme="minorHAnsi" w:hAnsiTheme="minorHAnsi" w:cstheme="minorBidi"/>
        </w:rPr>
        <w:t xml:space="preserve">, including medicines within the abbreviated </w:t>
      </w:r>
      <w:r w:rsidR="00800916" w:rsidRPr="24F8E339">
        <w:rPr>
          <w:rFonts w:asciiTheme="minorHAnsi" w:hAnsiTheme="minorHAnsi" w:cstheme="minorBidi"/>
        </w:rPr>
        <w:t>submission process</w:t>
      </w:r>
      <w:r w:rsidRPr="24F8E339">
        <w:rPr>
          <w:rFonts w:asciiTheme="minorHAnsi" w:hAnsiTheme="minorHAnsi" w:cstheme="minorBidi"/>
        </w:rPr>
        <w:t xml:space="preserve">. This information is essential to inform on the net costs (drug costs </w:t>
      </w:r>
      <w:r w:rsidR="00852273" w:rsidRPr="24F8E339">
        <w:rPr>
          <w:rFonts w:asciiTheme="minorHAnsi" w:hAnsiTheme="minorHAnsi" w:cstheme="minorBidi"/>
        </w:rPr>
        <w:t>associated with the new medicine</w:t>
      </w:r>
      <w:r w:rsidRPr="24F8E339">
        <w:rPr>
          <w:rFonts w:asciiTheme="minorHAnsi" w:hAnsiTheme="minorHAnsi" w:cstheme="minorBidi"/>
        </w:rPr>
        <w:t xml:space="preserve"> less any subsequent savings in </w:t>
      </w:r>
      <w:r w:rsidR="001305B4" w:rsidRPr="24F8E339">
        <w:rPr>
          <w:rFonts w:asciiTheme="minorHAnsi" w:hAnsiTheme="minorHAnsi" w:cstheme="minorBidi"/>
        </w:rPr>
        <w:t xml:space="preserve">relation to </w:t>
      </w:r>
      <w:r w:rsidRPr="24F8E339">
        <w:rPr>
          <w:rFonts w:asciiTheme="minorHAnsi" w:hAnsiTheme="minorHAnsi" w:cstheme="minorBidi"/>
        </w:rPr>
        <w:t xml:space="preserve">other </w:t>
      </w:r>
      <w:r w:rsidR="001305B4" w:rsidRPr="24F8E339">
        <w:rPr>
          <w:rFonts w:asciiTheme="minorHAnsi" w:hAnsiTheme="minorHAnsi" w:cstheme="minorBidi"/>
        </w:rPr>
        <w:t>medicines</w:t>
      </w:r>
      <w:r w:rsidRPr="24F8E339">
        <w:rPr>
          <w:rFonts w:asciiTheme="minorHAnsi" w:hAnsiTheme="minorHAnsi" w:cstheme="minorBidi"/>
        </w:rPr>
        <w:t>, adjusted for all anticipated changes to other resources used in NHS Scotland). This information is necessary for the Health Boards to support any implementation decision by the SMC.</w:t>
      </w:r>
    </w:p>
    <w:p w14:paraId="2A84DD4C" w14:textId="77777777" w:rsidR="001F1F34" w:rsidRDefault="001F1F34" w:rsidP="1F3D0C63">
      <w:pPr>
        <w:jc w:val="both"/>
        <w:rPr>
          <w:rFonts w:asciiTheme="minorHAnsi" w:hAnsiTheme="minorHAnsi" w:cstheme="minorBidi"/>
        </w:rPr>
      </w:pPr>
    </w:p>
    <w:p w14:paraId="074827D8" w14:textId="5A13D189" w:rsidR="001F1F34" w:rsidRPr="00093DBE" w:rsidRDefault="001F1F34" w:rsidP="24F8E339">
      <w:pPr>
        <w:jc w:val="both"/>
        <w:rPr>
          <w:rFonts w:ascii="Calibri" w:hAnsi="Calibri"/>
          <w:b/>
          <w:bCs/>
          <w:i/>
          <w:iCs/>
          <w:color w:val="auto"/>
        </w:rPr>
      </w:pPr>
      <w:r w:rsidRPr="00093DBE">
        <w:rPr>
          <w:rFonts w:ascii="Calibri" w:hAnsi="Calibri"/>
          <w:b/>
          <w:bCs/>
          <w:i/>
          <w:iCs/>
          <w:color w:val="auto"/>
        </w:rPr>
        <w:t xml:space="preserve">What resources are available to </w:t>
      </w:r>
      <w:r w:rsidR="00CE08ED" w:rsidRPr="24F8E339">
        <w:rPr>
          <w:rFonts w:ascii="Calibri" w:hAnsi="Calibri"/>
          <w:b/>
          <w:bCs/>
          <w:i/>
          <w:iCs/>
          <w:color w:val="auto"/>
        </w:rPr>
        <w:t>submitting c</w:t>
      </w:r>
      <w:r w:rsidRPr="24F8E339">
        <w:rPr>
          <w:rFonts w:ascii="Calibri" w:hAnsi="Calibri"/>
          <w:b/>
          <w:bCs/>
          <w:i/>
          <w:iCs/>
          <w:color w:val="auto"/>
        </w:rPr>
        <w:t>ompanies to help them complete the economic part of a submission to SMC?</w:t>
      </w:r>
    </w:p>
    <w:p w14:paraId="762D499B" w14:textId="77777777" w:rsidR="001F1F34" w:rsidRPr="00366027" w:rsidRDefault="001F1F34" w:rsidP="1F3D0C63">
      <w:pPr>
        <w:jc w:val="both"/>
        <w:rPr>
          <w:rFonts w:asciiTheme="minorHAnsi" w:hAnsiTheme="minorHAnsi" w:cstheme="minorBidi"/>
          <w:b/>
          <w:bCs/>
          <w:i/>
          <w:iCs/>
        </w:rPr>
      </w:pPr>
    </w:p>
    <w:p w14:paraId="426DABBB" w14:textId="4ED91A9B" w:rsidR="001F1F34" w:rsidRPr="00366027" w:rsidRDefault="001F1F34" w:rsidP="1F3D0C63">
      <w:pPr>
        <w:jc w:val="both"/>
        <w:rPr>
          <w:rFonts w:asciiTheme="minorHAnsi" w:hAnsiTheme="minorHAnsi" w:cstheme="minorBidi"/>
        </w:rPr>
      </w:pPr>
      <w:r w:rsidRPr="24F8E339">
        <w:rPr>
          <w:rFonts w:asciiTheme="minorHAnsi" w:hAnsiTheme="minorHAnsi" w:cstheme="minorBidi"/>
        </w:rPr>
        <w:t xml:space="preserve">Specific guidance on the economic evaluation is given in the Guidance for </w:t>
      </w:r>
      <w:r w:rsidR="4F705129" w:rsidRPr="24F8E339">
        <w:rPr>
          <w:rFonts w:asciiTheme="minorHAnsi" w:hAnsiTheme="minorHAnsi" w:cstheme="minorBidi"/>
        </w:rPr>
        <w:t xml:space="preserve">Submitting Companies on </w:t>
      </w:r>
      <w:r w:rsidR="371BA1EF" w:rsidRPr="24F8E339">
        <w:rPr>
          <w:rFonts w:asciiTheme="minorHAnsi" w:hAnsiTheme="minorHAnsi" w:cstheme="minorBidi"/>
        </w:rPr>
        <w:t>C</w:t>
      </w:r>
      <w:r w:rsidR="4F705129" w:rsidRPr="24F8E339">
        <w:rPr>
          <w:rFonts w:asciiTheme="minorHAnsi" w:hAnsiTheme="minorHAnsi" w:cstheme="minorBidi"/>
        </w:rPr>
        <w:t>ompletion of the NPAF</w:t>
      </w:r>
      <w:r w:rsidR="2FAF01F3" w:rsidRPr="24F8E339">
        <w:rPr>
          <w:rFonts w:asciiTheme="minorHAnsi" w:hAnsiTheme="minorHAnsi" w:cstheme="minorBidi"/>
        </w:rPr>
        <w:t xml:space="preserve"> </w:t>
      </w:r>
      <w:r w:rsidRPr="24F8E339">
        <w:rPr>
          <w:rFonts w:asciiTheme="minorHAnsi" w:hAnsiTheme="minorHAnsi" w:cstheme="minorBidi"/>
        </w:rPr>
        <w:t>document available from the SMC website or from the Secretariat. This deals with each stage of an economic evaluation.</w:t>
      </w:r>
    </w:p>
    <w:p w14:paraId="0461F87C" w14:textId="77777777" w:rsidR="001F1F34" w:rsidRPr="00366027" w:rsidRDefault="001F1F34" w:rsidP="1F3D0C63">
      <w:pPr>
        <w:jc w:val="both"/>
        <w:rPr>
          <w:rFonts w:asciiTheme="minorHAnsi" w:hAnsiTheme="minorHAnsi" w:cstheme="minorBidi"/>
        </w:rPr>
      </w:pPr>
    </w:p>
    <w:p w14:paraId="3D864E77" w14:textId="25839FC6" w:rsidR="001F1F34" w:rsidRPr="00366027" w:rsidRDefault="001F1F34" w:rsidP="1F3D0C63">
      <w:pPr>
        <w:jc w:val="both"/>
        <w:rPr>
          <w:rFonts w:asciiTheme="minorHAnsi" w:hAnsiTheme="minorHAnsi" w:cstheme="minorBidi"/>
        </w:rPr>
      </w:pPr>
      <w:r w:rsidRPr="1F3D0C63">
        <w:rPr>
          <w:rFonts w:asciiTheme="minorHAnsi" w:hAnsiTheme="minorHAnsi" w:cstheme="minorBidi"/>
        </w:rPr>
        <w:t xml:space="preserve">If this does not address an issue, </w:t>
      </w:r>
      <w:r w:rsidR="00A4657D" w:rsidRPr="1F3D0C63">
        <w:rPr>
          <w:rFonts w:asciiTheme="minorHAnsi" w:hAnsiTheme="minorHAnsi" w:cstheme="minorBidi"/>
        </w:rPr>
        <w:t>submitting companies</w:t>
      </w:r>
      <w:r w:rsidRPr="1F3D0C63">
        <w:rPr>
          <w:rFonts w:asciiTheme="minorHAnsi" w:hAnsiTheme="minorHAnsi" w:cstheme="minorBidi"/>
        </w:rPr>
        <w:t xml:space="preserve"> can contact the SMC Secretariat for clarification. However, guidance should only be sought on general points about method – SMC cannot become involved in detailed discussions about specific submissions while they are in preparation.</w:t>
      </w:r>
    </w:p>
    <w:p w14:paraId="0A3BD098" w14:textId="77777777" w:rsidR="001F1F34" w:rsidRPr="00093DBE" w:rsidRDefault="001F1F34">
      <w:pPr>
        <w:jc w:val="both"/>
        <w:rPr>
          <w:rFonts w:asciiTheme="minorHAnsi" w:hAnsiTheme="minorHAnsi" w:cstheme="minorHAnsi"/>
        </w:rPr>
      </w:pPr>
    </w:p>
    <w:p w14:paraId="658957FB" w14:textId="77777777" w:rsidR="00A06121" w:rsidRPr="00093DBE" w:rsidRDefault="00A06121">
      <w:pPr>
        <w:jc w:val="both"/>
        <w:rPr>
          <w:rFonts w:asciiTheme="minorHAnsi" w:hAnsiTheme="minorHAnsi" w:cstheme="minorHAnsi"/>
        </w:rPr>
      </w:pPr>
    </w:p>
    <w:p w14:paraId="658957FC" w14:textId="500DFBD9"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 xml:space="preserve">What </w:t>
      </w:r>
      <w:r w:rsidR="00D555D1" w:rsidRPr="24F8E339">
        <w:rPr>
          <w:rFonts w:asciiTheme="minorHAnsi" w:hAnsiTheme="minorHAnsi" w:cstheme="minorBidi"/>
          <w:b/>
          <w:bCs/>
          <w:i/>
          <w:iCs/>
        </w:rPr>
        <w:t xml:space="preserve">is the review </w:t>
      </w:r>
      <w:r w:rsidRPr="24F8E339">
        <w:rPr>
          <w:rFonts w:asciiTheme="minorHAnsi" w:hAnsiTheme="minorHAnsi" w:cstheme="minorBidi"/>
          <w:b/>
          <w:bCs/>
          <w:i/>
          <w:iCs/>
        </w:rPr>
        <w:t xml:space="preserve">process </w:t>
      </w:r>
      <w:r w:rsidR="00D555D1" w:rsidRPr="24F8E339">
        <w:rPr>
          <w:rFonts w:asciiTheme="minorHAnsi" w:hAnsiTheme="minorHAnsi" w:cstheme="minorBidi"/>
          <w:b/>
          <w:bCs/>
          <w:i/>
          <w:iCs/>
        </w:rPr>
        <w:t xml:space="preserve">for a </w:t>
      </w:r>
      <w:r w:rsidRPr="24F8E339">
        <w:rPr>
          <w:rFonts w:asciiTheme="minorHAnsi" w:hAnsiTheme="minorHAnsi" w:cstheme="minorBidi"/>
          <w:b/>
          <w:bCs/>
          <w:i/>
          <w:iCs/>
        </w:rPr>
        <w:t>submission including an economic evaluation?</w:t>
      </w:r>
    </w:p>
    <w:p w14:paraId="658957FD" w14:textId="77777777" w:rsidR="00A06121" w:rsidRPr="00093DBE" w:rsidRDefault="00A06121">
      <w:pPr>
        <w:jc w:val="both"/>
        <w:rPr>
          <w:rFonts w:asciiTheme="minorHAnsi" w:hAnsiTheme="minorHAnsi" w:cstheme="minorHAnsi"/>
          <w:b/>
          <w:i/>
        </w:rPr>
      </w:pPr>
    </w:p>
    <w:p w14:paraId="658957FE" w14:textId="38F1B465" w:rsidR="00A06121" w:rsidRDefault="00A06121" w:rsidP="1F3D0C63">
      <w:pPr>
        <w:jc w:val="both"/>
        <w:rPr>
          <w:rFonts w:asciiTheme="minorHAnsi" w:hAnsiTheme="minorHAnsi" w:cstheme="minorBidi"/>
        </w:rPr>
      </w:pPr>
      <w:r w:rsidRPr="24F8E339">
        <w:rPr>
          <w:rFonts w:asciiTheme="minorHAnsi" w:hAnsiTheme="minorHAnsi" w:cstheme="minorBidi"/>
        </w:rPr>
        <w:t xml:space="preserve">The first stage is that the submission is forwarded to an </w:t>
      </w:r>
      <w:r w:rsidR="00E4661F" w:rsidRPr="24F8E339">
        <w:rPr>
          <w:rFonts w:asciiTheme="minorHAnsi" w:hAnsiTheme="minorHAnsi" w:cstheme="minorBidi"/>
        </w:rPr>
        <w:t>E</w:t>
      </w:r>
      <w:r w:rsidRPr="24F8E339">
        <w:rPr>
          <w:rFonts w:asciiTheme="minorHAnsi" w:hAnsiTheme="minorHAnsi" w:cstheme="minorBidi"/>
        </w:rPr>
        <w:t>conomist for review. This has two aspects:</w:t>
      </w:r>
    </w:p>
    <w:p w14:paraId="7551EDFB" w14:textId="77777777" w:rsidR="00315D65" w:rsidRPr="00093DBE" w:rsidRDefault="00315D65">
      <w:pPr>
        <w:jc w:val="both"/>
        <w:rPr>
          <w:rFonts w:asciiTheme="minorHAnsi" w:hAnsiTheme="minorHAnsi" w:cstheme="minorHAnsi"/>
        </w:rPr>
      </w:pPr>
    </w:p>
    <w:p w14:paraId="658957FF" w14:textId="0FE722C0" w:rsidR="00A06121" w:rsidRPr="00093DBE" w:rsidRDefault="00A06121" w:rsidP="1F3D0C63">
      <w:pPr>
        <w:numPr>
          <w:ilvl w:val="0"/>
          <w:numId w:val="1"/>
        </w:numPr>
        <w:jc w:val="both"/>
        <w:rPr>
          <w:rFonts w:asciiTheme="minorHAnsi" w:hAnsiTheme="minorHAnsi" w:cstheme="minorBidi"/>
        </w:rPr>
      </w:pPr>
      <w:r w:rsidRPr="24F8E339">
        <w:rPr>
          <w:rFonts w:asciiTheme="minorHAnsi" w:hAnsiTheme="minorHAnsi" w:cstheme="minorBidi"/>
        </w:rPr>
        <w:t>firstly</w:t>
      </w:r>
      <w:r w:rsidR="007E762C" w:rsidRPr="24F8E339">
        <w:rPr>
          <w:rFonts w:asciiTheme="minorHAnsi" w:hAnsiTheme="minorHAnsi" w:cstheme="minorBidi"/>
        </w:rPr>
        <w:t xml:space="preserve">, to verify that an economic analysis and budget impact analysis have been provided as part of the </w:t>
      </w:r>
      <w:r w:rsidR="70A1783E" w:rsidRPr="24F8E339">
        <w:rPr>
          <w:rFonts w:asciiTheme="minorHAnsi" w:hAnsiTheme="minorHAnsi" w:cstheme="minorBidi"/>
        </w:rPr>
        <w:t xml:space="preserve">NPAF, along with the economic model, budget impact template(s) and where relevant a completed Patient Access Scheme (PAS) application </w:t>
      </w:r>
      <w:r w:rsidR="17A2F07D" w:rsidRPr="24F8E339">
        <w:rPr>
          <w:rFonts w:asciiTheme="minorHAnsi" w:hAnsiTheme="minorHAnsi" w:cstheme="minorBidi"/>
        </w:rPr>
        <w:t xml:space="preserve">form. </w:t>
      </w:r>
    </w:p>
    <w:p w14:paraId="65895800" w14:textId="2BAC0257" w:rsidR="00A06121" w:rsidRPr="00093DBE" w:rsidRDefault="00A06121" w:rsidP="1F3D0C63">
      <w:pPr>
        <w:numPr>
          <w:ilvl w:val="0"/>
          <w:numId w:val="1"/>
        </w:numPr>
        <w:jc w:val="both"/>
        <w:rPr>
          <w:rFonts w:asciiTheme="minorHAnsi" w:hAnsiTheme="minorHAnsi" w:cstheme="minorBidi"/>
        </w:rPr>
      </w:pPr>
      <w:r w:rsidRPr="24F8E339">
        <w:rPr>
          <w:rFonts w:asciiTheme="minorHAnsi" w:hAnsiTheme="minorHAnsi" w:cstheme="minorBidi"/>
        </w:rPr>
        <w:t xml:space="preserve">secondly, is the evidence submitted suitable for critical appraisal? The submission form asks </w:t>
      </w:r>
      <w:r w:rsidR="00CA4749" w:rsidRPr="24F8E339">
        <w:rPr>
          <w:rFonts w:asciiTheme="minorHAnsi" w:hAnsiTheme="minorHAnsi" w:cstheme="minorBidi"/>
        </w:rPr>
        <w:t>submitting companies</w:t>
      </w:r>
      <w:r w:rsidRPr="24F8E339">
        <w:rPr>
          <w:rFonts w:asciiTheme="minorHAnsi" w:hAnsiTheme="minorHAnsi" w:cstheme="minorBidi"/>
        </w:rPr>
        <w:t xml:space="preserve"> to state where in their submission certain key guidance points have been addressed (e.g. “on which page does the submission clearly state the costs used to value resource use?”). This checklist will be reviewed for completeness, with a judgement made at the end about suitability to proceed.</w:t>
      </w:r>
    </w:p>
    <w:p w14:paraId="65895801" w14:textId="77777777" w:rsidR="00A06121" w:rsidRPr="00093DBE" w:rsidRDefault="00A06121">
      <w:pPr>
        <w:jc w:val="both"/>
        <w:rPr>
          <w:rFonts w:asciiTheme="minorHAnsi" w:hAnsiTheme="minorHAnsi" w:cstheme="minorHAnsi"/>
        </w:rPr>
      </w:pPr>
    </w:p>
    <w:p w14:paraId="65895802" w14:textId="3CDA6AB6" w:rsidR="00A06121" w:rsidRPr="00093DBE" w:rsidRDefault="00A06121" w:rsidP="1F3D0C63">
      <w:pPr>
        <w:jc w:val="both"/>
        <w:rPr>
          <w:rFonts w:asciiTheme="minorHAnsi" w:hAnsiTheme="minorHAnsi" w:cstheme="minorBidi"/>
        </w:rPr>
      </w:pPr>
      <w:r w:rsidRPr="00093DBE">
        <w:rPr>
          <w:rFonts w:asciiTheme="minorHAnsi" w:hAnsiTheme="minorHAnsi" w:cstheme="minorBidi"/>
        </w:rPr>
        <w:t xml:space="preserve">The </w:t>
      </w:r>
      <w:r w:rsidR="00CA4749" w:rsidRPr="24F8E339">
        <w:rPr>
          <w:rFonts w:asciiTheme="minorHAnsi" w:hAnsiTheme="minorHAnsi" w:cstheme="minorBidi"/>
        </w:rPr>
        <w:t>submitting company</w:t>
      </w:r>
      <w:r w:rsidRPr="24F8E339">
        <w:rPr>
          <w:rFonts w:asciiTheme="minorHAnsi" w:hAnsiTheme="minorHAnsi" w:cstheme="minorBidi"/>
        </w:rPr>
        <w:t xml:space="preserve"> should be informed of a decision from this stage within </w:t>
      </w:r>
      <w:proofErr w:type="gramStart"/>
      <w:r w:rsidR="582930CF" w:rsidRPr="24F8E339">
        <w:rPr>
          <w:rFonts w:asciiTheme="minorHAnsi" w:hAnsiTheme="minorHAnsi" w:cstheme="minorBidi"/>
        </w:rPr>
        <w:t>ten  days</w:t>
      </w:r>
      <w:proofErr w:type="gramEnd"/>
      <w:r w:rsidRPr="24F8E339">
        <w:rPr>
          <w:rFonts w:asciiTheme="minorHAnsi" w:hAnsiTheme="minorHAnsi" w:cstheme="minorBidi"/>
        </w:rPr>
        <w:t xml:space="preserve"> of submission. The Secretariat will also add the submission to the agenda for a meeting of the New Drugs Committee</w:t>
      </w:r>
      <w:r w:rsidR="007C1740" w:rsidRPr="24F8E339">
        <w:rPr>
          <w:rFonts w:asciiTheme="minorHAnsi" w:hAnsiTheme="minorHAnsi" w:cstheme="minorBidi"/>
        </w:rPr>
        <w:t xml:space="preserve"> (NDC)</w:t>
      </w:r>
      <w:r w:rsidRPr="24F8E339">
        <w:rPr>
          <w:rFonts w:asciiTheme="minorHAnsi" w:hAnsiTheme="minorHAnsi" w:cstheme="minorBidi"/>
        </w:rPr>
        <w:t xml:space="preserve">, informing the </w:t>
      </w:r>
      <w:r w:rsidR="00CA4749" w:rsidRPr="24F8E339">
        <w:rPr>
          <w:rFonts w:asciiTheme="minorHAnsi" w:hAnsiTheme="minorHAnsi" w:cstheme="minorBidi"/>
        </w:rPr>
        <w:t>submitting company</w:t>
      </w:r>
      <w:r w:rsidRPr="24F8E339">
        <w:rPr>
          <w:rFonts w:asciiTheme="minorHAnsi" w:hAnsiTheme="minorHAnsi" w:cstheme="minorBidi"/>
        </w:rPr>
        <w:t xml:space="preserve"> of the timetable.</w:t>
      </w:r>
    </w:p>
    <w:p w14:paraId="65895803" w14:textId="77777777" w:rsidR="00A06121" w:rsidRPr="00093DBE" w:rsidRDefault="00A06121">
      <w:pPr>
        <w:jc w:val="both"/>
        <w:rPr>
          <w:rFonts w:asciiTheme="minorHAnsi" w:hAnsiTheme="minorHAnsi" w:cstheme="minorHAnsi"/>
        </w:rPr>
      </w:pPr>
    </w:p>
    <w:p w14:paraId="65895804" w14:textId="629DA6AE" w:rsidR="00A06121" w:rsidRPr="00093DBE" w:rsidRDefault="00A06121" w:rsidP="1F3D0C63">
      <w:pPr>
        <w:jc w:val="both"/>
        <w:rPr>
          <w:rFonts w:asciiTheme="minorHAnsi" w:hAnsiTheme="minorHAnsi" w:cstheme="minorBidi"/>
        </w:rPr>
      </w:pPr>
      <w:r w:rsidRPr="24F8E339">
        <w:rPr>
          <w:rFonts w:asciiTheme="minorHAnsi" w:hAnsiTheme="minorHAnsi" w:cstheme="minorBidi"/>
        </w:rPr>
        <w:t xml:space="preserve">The submissions are then allocated to an </w:t>
      </w:r>
      <w:r w:rsidR="00CB52F1" w:rsidRPr="24F8E339">
        <w:rPr>
          <w:rFonts w:asciiTheme="minorHAnsi" w:hAnsiTheme="minorHAnsi" w:cstheme="minorBidi"/>
        </w:rPr>
        <w:t>E</w:t>
      </w:r>
      <w:r w:rsidRPr="24F8E339">
        <w:rPr>
          <w:rFonts w:asciiTheme="minorHAnsi" w:hAnsiTheme="minorHAnsi" w:cstheme="minorBidi"/>
        </w:rPr>
        <w:t>conomi</w:t>
      </w:r>
      <w:r w:rsidR="00CB52F1" w:rsidRPr="24F8E339">
        <w:rPr>
          <w:rFonts w:asciiTheme="minorHAnsi" w:hAnsiTheme="minorHAnsi" w:cstheme="minorBidi"/>
        </w:rPr>
        <w:t>c Assessor</w:t>
      </w:r>
      <w:r w:rsidRPr="24F8E339">
        <w:rPr>
          <w:rFonts w:asciiTheme="minorHAnsi" w:hAnsiTheme="minorHAnsi" w:cstheme="minorBidi"/>
        </w:rPr>
        <w:t xml:space="preserve"> for critical appraisal. The </w:t>
      </w:r>
      <w:r w:rsidR="008A71A5" w:rsidRPr="24F8E339">
        <w:rPr>
          <w:rFonts w:asciiTheme="minorHAnsi" w:hAnsiTheme="minorHAnsi" w:cstheme="minorBidi"/>
        </w:rPr>
        <w:t xml:space="preserve">Economic Assessor </w:t>
      </w:r>
      <w:r w:rsidRPr="24F8E339">
        <w:rPr>
          <w:rFonts w:asciiTheme="minorHAnsi" w:hAnsiTheme="minorHAnsi" w:cstheme="minorBidi"/>
        </w:rPr>
        <w:t>work</w:t>
      </w:r>
      <w:r w:rsidR="008A71A5" w:rsidRPr="24F8E339">
        <w:rPr>
          <w:rFonts w:asciiTheme="minorHAnsi" w:hAnsiTheme="minorHAnsi" w:cstheme="minorBidi"/>
        </w:rPr>
        <w:t>s</w:t>
      </w:r>
      <w:r w:rsidRPr="24F8E339">
        <w:rPr>
          <w:rFonts w:asciiTheme="minorHAnsi" w:hAnsiTheme="minorHAnsi" w:cstheme="minorBidi"/>
        </w:rPr>
        <w:t xml:space="preserve"> in collaboration with </w:t>
      </w:r>
      <w:r w:rsidR="00C17E86" w:rsidRPr="24F8E339">
        <w:rPr>
          <w:rFonts w:asciiTheme="minorHAnsi" w:hAnsiTheme="minorHAnsi" w:cstheme="minorBidi"/>
        </w:rPr>
        <w:t>a P</w:t>
      </w:r>
      <w:r w:rsidRPr="24F8E339">
        <w:rPr>
          <w:rFonts w:asciiTheme="minorHAnsi" w:hAnsiTheme="minorHAnsi" w:cstheme="minorBidi"/>
        </w:rPr>
        <w:t xml:space="preserve">harmacist </w:t>
      </w:r>
      <w:r w:rsidR="00C17E86" w:rsidRPr="24F8E339">
        <w:rPr>
          <w:rFonts w:asciiTheme="minorHAnsi" w:hAnsiTheme="minorHAnsi" w:cstheme="minorBidi"/>
        </w:rPr>
        <w:t>R</w:t>
      </w:r>
      <w:r w:rsidRPr="24F8E339">
        <w:rPr>
          <w:rFonts w:asciiTheme="minorHAnsi" w:hAnsiTheme="minorHAnsi" w:cstheme="minorBidi"/>
        </w:rPr>
        <w:t>eviewer</w:t>
      </w:r>
      <w:r w:rsidR="2695796B" w:rsidRPr="24F8E339">
        <w:rPr>
          <w:rFonts w:asciiTheme="minorHAnsi" w:hAnsiTheme="minorHAnsi" w:cstheme="minorBidi"/>
        </w:rPr>
        <w:t xml:space="preserve">, a </w:t>
      </w:r>
      <w:r w:rsidR="0F36B3E2" w:rsidRPr="24F8E339">
        <w:rPr>
          <w:rFonts w:asciiTheme="minorHAnsi" w:hAnsiTheme="minorHAnsi" w:cstheme="minorBidi"/>
        </w:rPr>
        <w:t>H</w:t>
      </w:r>
      <w:r w:rsidR="2695796B" w:rsidRPr="24F8E339">
        <w:rPr>
          <w:rFonts w:asciiTheme="minorHAnsi" w:hAnsiTheme="minorHAnsi" w:cstheme="minorBidi"/>
        </w:rPr>
        <w:t xml:space="preserve">ealth </w:t>
      </w:r>
      <w:r w:rsidR="3CD2D694" w:rsidRPr="24F8E339">
        <w:rPr>
          <w:rFonts w:asciiTheme="minorHAnsi" w:hAnsiTheme="minorHAnsi" w:cstheme="minorBidi"/>
        </w:rPr>
        <w:t>S</w:t>
      </w:r>
      <w:r w:rsidR="2695796B" w:rsidRPr="24F8E339">
        <w:rPr>
          <w:rFonts w:asciiTheme="minorHAnsi" w:hAnsiTheme="minorHAnsi" w:cstheme="minorBidi"/>
        </w:rPr>
        <w:t xml:space="preserve">ervices </w:t>
      </w:r>
      <w:r w:rsidR="50F3A65D" w:rsidRPr="24F8E339">
        <w:rPr>
          <w:rFonts w:asciiTheme="minorHAnsi" w:hAnsiTheme="minorHAnsi" w:cstheme="minorBidi"/>
        </w:rPr>
        <w:t>R</w:t>
      </w:r>
      <w:r w:rsidR="2695796B" w:rsidRPr="24F8E339">
        <w:rPr>
          <w:rFonts w:asciiTheme="minorHAnsi" w:hAnsiTheme="minorHAnsi" w:cstheme="minorBidi"/>
        </w:rPr>
        <w:t>esearcher</w:t>
      </w:r>
      <w:r w:rsidRPr="24F8E339">
        <w:rPr>
          <w:rFonts w:asciiTheme="minorHAnsi" w:hAnsiTheme="minorHAnsi" w:cstheme="minorBidi"/>
        </w:rPr>
        <w:t xml:space="preserve"> and a </w:t>
      </w:r>
      <w:r w:rsidR="00C17E86" w:rsidRPr="24F8E339">
        <w:rPr>
          <w:rFonts w:asciiTheme="minorHAnsi" w:hAnsiTheme="minorHAnsi" w:cstheme="minorBidi"/>
        </w:rPr>
        <w:t>L</w:t>
      </w:r>
      <w:r w:rsidRPr="24F8E339">
        <w:rPr>
          <w:rFonts w:asciiTheme="minorHAnsi" w:hAnsiTheme="minorHAnsi" w:cstheme="minorBidi"/>
        </w:rPr>
        <w:t xml:space="preserve">ead </w:t>
      </w:r>
      <w:r w:rsidR="2B4A0125" w:rsidRPr="24F8E339">
        <w:rPr>
          <w:rFonts w:asciiTheme="minorHAnsi" w:hAnsiTheme="minorHAnsi" w:cstheme="minorBidi"/>
        </w:rPr>
        <w:t>Assessor (</w:t>
      </w:r>
      <w:r w:rsidR="00DD6A03" w:rsidRPr="24F8E339">
        <w:rPr>
          <w:rFonts w:asciiTheme="minorHAnsi" w:hAnsiTheme="minorHAnsi" w:cstheme="minorBidi"/>
        </w:rPr>
        <w:t xml:space="preserve">collectively called the Assessment Team) </w:t>
      </w:r>
      <w:r w:rsidRPr="24F8E339">
        <w:rPr>
          <w:rFonts w:asciiTheme="minorHAnsi" w:hAnsiTheme="minorHAnsi" w:cstheme="minorBidi"/>
        </w:rPr>
        <w:t xml:space="preserve">to </w:t>
      </w:r>
      <w:r w:rsidRPr="24F8E339">
        <w:rPr>
          <w:rFonts w:asciiTheme="minorHAnsi" w:hAnsiTheme="minorHAnsi" w:cstheme="minorBidi"/>
        </w:rPr>
        <w:lastRenderedPageBreak/>
        <w:t xml:space="preserve">consider relevant existing practice in </w:t>
      </w:r>
      <w:proofErr w:type="spellStart"/>
      <w:r w:rsidRPr="24F8E339">
        <w:rPr>
          <w:rFonts w:asciiTheme="minorHAnsi" w:hAnsiTheme="minorHAnsi" w:cstheme="minorBidi"/>
        </w:rPr>
        <w:t>NHSScotland</w:t>
      </w:r>
      <w:proofErr w:type="spellEnd"/>
      <w:r w:rsidRPr="24F8E339">
        <w:rPr>
          <w:rFonts w:asciiTheme="minorHAnsi" w:hAnsiTheme="minorHAnsi" w:cstheme="minorBidi"/>
        </w:rPr>
        <w:t xml:space="preserve"> and the submitted evidence. </w:t>
      </w:r>
      <w:r w:rsidR="086F70D7" w:rsidRPr="24F8E339">
        <w:rPr>
          <w:rFonts w:asciiTheme="minorHAnsi" w:hAnsiTheme="minorHAnsi" w:cstheme="minorBidi"/>
        </w:rPr>
        <w:t xml:space="preserve">The Lead Assessor is a member of the NDC. </w:t>
      </w:r>
      <w:r w:rsidRPr="24F8E339">
        <w:rPr>
          <w:rFonts w:asciiTheme="minorHAnsi" w:hAnsiTheme="minorHAnsi" w:cstheme="minorBidi"/>
        </w:rPr>
        <w:t xml:space="preserve">To assist this analysis, the </w:t>
      </w:r>
      <w:r w:rsidR="00DD6A03" w:rsidRPr="24F8E339">
        <w:rPr>
          <w:rFonts w:asciiTheme="minorHAnsi" w:hAnsiTheme="minorHAnsi" w:cstheme="minorBidi"/>
        </w:rPr>
        <w:t>Assessment Team</w:t>
      </w:r>
      <w:r w:rsidRPr="24F8E339">
        <w:rPr>
          <w:rFonts w:asciiTheme="minorHAnsi" w:hAnsiTheme="minorHAnsi" w:cstheme="minorBidi"/>
        </w:rPr>
        <w:t xml:space="preserve"> usually require access to original articles describing </w:t>
      </w:r>
      <w:r w:rsidR="004F7CDA" w:rsidRPr="24F8E339">
        <w:rPr>
          <w:rFonts w:asciiTheme="minorHAnsi" w:hAnsiTheme="minorHAnsi" w:cstheme="minorBidi"/>
        </w:rPr>
        <w:t>studies</w:t>
      </w:r>
      <w:r w:rsidRPr="24F8E339">
        <w:rPr>
          <w:rFonts w:asciiTheme="minorHAnsi" w:hAnsiTheme="minorHAnsi" w:cstheme="minorBidi"/>
        </w:rPr>
        <w:t xml:space="preserve"> and results to validate its relevance to the Scottish setting. Thus, it is helpful to ensure all references in support of the submission accompany the submission.</w:t>
      </w:r>
    </w:p>
    <w:p w14:paraId="65895805" w14:textId="77777777" w:rsidR="00A06121" w:rsidRPr="00093DBE" w:rsidRDefault="00A06121">
      <w:pPr>
        <w:jc w:val="both"/>
        <w:rPr>
          <w:rFonts w:asciiTheme="minorHAnsi" w:hAnsiTheme="minorHAnsi" w:cstheme="minorHAnsi"/>
        </w:rPr>
      </w:pPr>
    </w:p>
    <w:p w14:paraId="65895806" w14:textId="223C960B" w:rsidR="00A06121" w:rsidRPr="00093DBE" w:rsidRDefault="00A06121" w:rsidP="1F3D0C63">
      <w:pPr>
        <w:jc w:val="both"/>
        <w:rPr>
          <w:rFonts w:asciiTheme="minorHAnsi" w:hAnsiTheme="minorHAnsi" w:cstheme="minorBidi"/>
        </w:rPr>
      </w:pPr>
      <w:r w:rsidRPr="24F8E339">
        <w:rPr>
          <w:rFonts w:asciiTheme="minorHAnsi" w:hAnsiTheme="minorHAnsi" w:cstheme="minorBidi"/>
        </w:rPr>
        <w:t>Written critiques of the clinical and economic submissions are circulated to the NDC two weeks before the meeting</w:t>
      </w:r>
      <w:r w:rsidR="001B3C8A" w:rsidRPr="24F8E339">
        <w:rPr>
          <w:rFonts w:asciiTheme="minorHAnsi" w:hAnsiTheme="minorHAnsi" w:cstheme="minorBidi"/>
        </w:rPr>
        <w:t xml:space="preserve">, through the detailed advice document (DAD) and summary checklists prepared by the </w:t>
      </w:r>
      <w:r w:rsidR="007C1740" w:rsidRPr="24F8E339">
        <w:rPr>
          <w:rFonts w:asciiTheme="minorHAnsi" w:hAnsiTheme="minorHAnsi" w:cstheme="minorBidi"/>
        </w:rPr>
        <w:t xml:space="preserve">Economic Assessor </w:t>
      </w:r>
      <w:r w:rsidR="001B3C8A" w:rsidRPr="24F8E339">
        <w:rPr>
          <w:rFonts w:asciiTheme="minorHAnsi" w:hAnsiTheme="minorHAnsi" w:cstheme="minorBidi"/>
        </w:rPr>
        <w:t xml:space="preserve">and </w:t>
      </w:r>
      <w:r w:rsidR="007C1740" w:rsidRPr="24F8E339">
        <w:rPr>
          <w:rFonts w:asciiTheme="minorHAnsi" w:hAnsiTheme="minorHAnsi" w:cstheme="minorBidi"/>
        </w:rPr>
        <w:t>Pharmacist Reviewer</w:t>
      </w:r>
      <w:r w:rsidRPr="24F8E339">
        <w:rPr>
          <w:rFonts w:asciiTheme="minorHAnsi" w:hAnsiTheme="minorHAnsi" w:cstheme="minorBidi"/>
        </w:rPr>
        <w:t xml:space="preserve">. At the meeting itself, the </w:t>
      </w:r>
      <w:r w:rsidR="00634740" w:rsidRPr="24F8E339">
        <w:rPr>
          <w:rFonts w:asciiTheme="minorHAnsi" w:hAnsiTheme="minorHAnsi" w:cstheme="minorBidi"/>
        </w:rPr>
        <w:t>Assessment Team</w:t>
      </w:r>
      <w:r w:rsidRPr="24F8E339">
        <w:rPr>
          <w:rFonts w:asciiTheme="minorHAnsi" w:hAnsiTheme="minorHAnsi" w:cstheme="minorBidi"/>
        </w:rPr>
        <w:t xml:space="preserve"> give a brief verbal presentation followed by general discussion. The draft recommendation </w:t>
      </w:r>
      <w:r w:rsidR="001B3C8A" w:rsidRPr="24F8E339">
        <w:rPr>
          <w:rFonts w:asciiTheme="minorHAnsi" w:hAnsiTheme="minorHAnsi" w:cstheme="minorBidi"/>
        </w:rPr>
        <w:t xml:space="preserve">and DAD </w:t>
      </w:r>
      <w:r w:rsidR="00A17B62" w:rsidRPr="24F8E339">
        <w:rPr>
          <w:rFonts w:asciiTheme="minorHAnsi" w:hAnsiTheme="minorHAnsi" w:cstheme="minorBidi"/>
        </w:rPr>
        <w:t>are</w:t>
      </w:r>
      <w:r w:rsidRPr="24F8E339">
        <w:rPr>
          <w:rFonts w:asciiTheme="minorHAnsi" w:hAnsiTheme="minorHAnsi" w:cstheme="minorBidi"/>
        </w:rPr>
        <w:t xml:space="preserve"> then revised in the light of these comments.</w:t>
      </w:r>
      <w:r w:rsidR="1301F26D" w:rsidRPr="24F8E339">
        <w:rPr>
          <w:rFonts w:asciiTheme="minorHAnsi" w:hAnsiTheme="minorHAnsi" w:cstheme="minorBidi"/>
        </w:rPr>
        <w:t xml:space="preserve"> Note that while SMC meets in public, the NDC meeting is held in private. </w:t>
      </w:r>
    </w:p>
    <w:p w14:paraId="65895807" w14:textId="77777777" w:rsidR="00A06121" w:rsidRPr="00093DBE" w:rsidRDefault="00A06121">
      <w:pPr>
        <w:jc w:val="both"/>
        <w:rPr>
          <w:rFonts w:asciiTheme="minorHAnsi" w:hAnsiTheme="minorHAnsi" w:cstheme="minorHAnsi"/>
        </w:rPr>
      </w:pPr>
    </w:p>
    <w:p w14:paraId="65895808" w14:textId="77777777"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How much detail is required in the economic submission?</w:t>
      </w:r>
    </w:p>
    <w:p w14:paraId="65895809" w14:textId="77777777" w:rsidR="00A06121" w:rsidRPr="00093DBE" w:rsidRDefault="00A06121">
      <w:pPr>
        <w:jc w:val="both"/>
        <w:rPr>
          <w:rFonts w:asciiTheme="minorHAnsi" w:hAnsiTheme="minorHAnsi" w:cstheme="minorHAnsi"/>
          <w:b/>
          <w:i/>
        </w:rPr>
      </w:pPr>
    </w:p>
    <w:p w14:paraId="1ECA42D0" w14:textId="355E15E7" w:rsidR="00A06121" w:rsidRPr="00093DBE" w:rsidRDefault="00A06121" w:rsidP="0C32B371">
      <w:pPr>
        <w:jc w:val="both"/>
        <w:rPr>
          <w:rFonts w:asciiTheme="minorHAnsi" w:hAnsiTheme="minorHAnsi" w:cstheme="minorBidi"/>
        </w:rPr>
      </w:pPr>
      <w:r w:rsidRPr="0C32B371">
        <w:rPr>
          <w:rFonts w:asciiTheme="minorHAnsi" w:hAnsiTheme="minorHAnsi" w:cstheme="minorBidi"/>
        </w:rPr>
        <w:t>This is difficult to answer and depends upon the nature of the product under consideration, the comparisons that are made, the quality of the clinical evidence available, and so on. The main role of the submission is to provide sufficient evidence for the SMC to judge value in a Scottish setting so it must cover the points set out in the economics checklist. A concise, clearly argued case tends to be more persuasive than a technical case based on a huge amount of detail, except where this is very clearly justified.</w:t>
      </w:r>
    </w:p>
    <w:p w14:paraId="368DB7CB" w14:textId="1DB61843" w:rsidR="00093DBE" w:rsidRDefault="00093DBE">
      <w:pPr>
        <w:rPr>
          <w:rFonts w:asciiTheme="minorHAnsi" w:hAnsiTheme="minorHAnsi" w:cstheme="minorBidi"/>
          <w:b/>
          <w:bCs/>
          <w:i/>
          <w:iCs/>
        </w:rPr>
      </w:pPr>
    </w:p>
    <w:p w14:paraId="6589580C" w14:textId="65BA48F4"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What type of economic evaluation should I use?</w:t>
      </w:r>
    </w:p>
    <w:p w14:paraId="6589580D" w14:textId="77777777" w:rsidR="00A06121" w:rsidRPr="00093DBE" w:rsidRDefault="00A06121">
      <w:pPr>
        <w:jc w:val="both"/>
        <w:rPr>
          <w:rFonts w:asciiTheme="minorHAnsi" w:hAnsiTheme="minorHAnsi" w:cstheme="minorHAnsi"/>
          <w:b/>
          <w:i/>
        </w:rPr>
      </w:pPr>
    </w:p>
    <w:p w14:paraId="6589580F" w14:textId="0954FA3E" w:rsidR="00A06121" w:rsidRDefault="00F277E6" w:rsidP="0C32B371">
      <w:pPr>
        <w:jc w:val="both"/>
        <w:rPr>
          <w:rFonts w:asciiTheme="minorHAnsi" w:hAnsiTheme="minorHAnsi" w:cstheme="minorBidi"/>
        </w:rPr>
      </w:pPr>
      <w:r w:rsidRPr="24F8E339">
        <w:rPr>
          <w:rFonts w:asciiTheme="minorHAnsi" w:hAnsiTheme="minorHAnsi" w:cstheme="minorBidi"/>
        </w:rPr>
        <w:t>T</w:t>
      </w:r>
      <w:r w:rsidR="00A06121" w:rsidRPr="24F8E339">
        <w:rPr>
          <w:rFonts w:asciiTheme="minorHAnsi" w:hAnsiTheme="minorHAnsi" w:cstheme="minorBidi"/>
        </w:rPr>
        <w:t xml:space="preserve">his depends in part upon what the new product is being compared to, the nature and quality of the clinical evidence and so on. The </w:t>
      </w:r>
      <w:r w:rsidR="00EE3F78" w:rsidRPr="24F8E339">
        <w:rPr>
          <w:rFonts w:asciiTheme="minorHAnsi" w:hAnsiTheme="minorHAnsi" w:cstheme="minorBidi"/>
        </w:rPr>
        <w:t>submitting company</w:t>
      </w:r>
      <w:r w:rsidR="00A06121" w:rsidRPr="24F8E339">
        <w:rPr>
          <w:rFonts w:asciiTheme="minorHAnsi" w:hAnsiTheme="minorHAnsi" w:cstheme="minorBidi"/>
        </w:rPr>
        <w:t xml:space="preserve"> should be aware that the SMC is trying to assess the value of new medicines in the context of </w:t>
      </w:r>
      <w:proofErr w:type="gramStart"/>
      <w:r w:rsidR="00A06121" w:rsidRPr="24F8E339">
        <w:rPr>
          <w:rFonts w:asciiTheme="minorHAnsi" w:hAnsiTheme="minorHAnsi" w:cstheme="minorBidi"/>
        </w:rPr>
        <w:t>a number of</w:t>
      </w:r>
      <w:proofErr w:type="gramEnd"/>
      <w:r w:rsidR="00A06121" w:rsidRPr="24F8E339">
        <w:rPr>
          <w:rFonts w:asciiTheme="minorHAnsi" w:hAnsiTheme="minorHAnsi" w:cstheme="minorBidi"/>
        </w:rPr>
        <w:t xml:space="preserve"> pressures upon the NHS in Scotland. To promote consistency across appraisals, SMC </w:t>
      </w:r>
      <w:proofErr w:type="gramStart"/>
      <w:r w:rsidR="00A06121" w:rsidRPr="24F8E339">
        <w:rPr>
          <w:rFonts w:asciiTheme="minorHAnsi" w:hAnsiTheme="minorHAnsi" w:cstheme="minorBidi"/>
        </w:rPr>
        <w:t>has a preference for</w:t>
      </w:r>
      <w:proofErr w:type="gramEnd"/>
      <w:r w:rsidR="00A06121" w:rsidRPr="24F8E339">
        <w:rPr>
          <w:rFonts w:asciiTheme="minorHAnsi" w:hAnsiTheme="minorHAnsi" w:cstheme="minorBidi"/>
        </w:rPr>
        <w:t xml:space="preserve"> generic measures of outcome, such as the quality-adjusted life-year (QALY), over disease-specific measures of outcome, suggesting that the </w:t>
      </w:r>
      <w:r w:rsidR="00F272E2" w:rsidRPr="24F8E339">
        <w:rPr>
          <w:rFonts w:asciiTheme="minorHAnsi" w:hAnsiTheme="minorHAnsi" w:cstheme="minorBidi"/>
        </w:rPr>
        <w:t>sub</w:t>
      </w:r>
      <w:r w:rsidR="0031795D" w:rsidRPr="24F8E339">
        <w:rPr>
          <w:rFonts w:asciiTheme="minorHAnsi" w:hAnsiTheme="minorHAnsi" w:cstheme="minorBidi"/>
        </w:rPr>
        <w:t>mitting company</w:t>
      </w:r>
      <w:r w:rsidR="00A06121" w:rsidRPr="24F8E339">
        <w:rPr>
          <w:rFonts w:asciiTheme="minorHAnsi" w:hAnsiTheme="minorHAnsi" w:cstheme="minorBidi"/>
        </w:rPr>
        <w:t xml:space="preserve"> should give serious consideration to a cost-utility analysis (CUA).</w:t>
      </w:r>
      <w:r w:rsidR="00755C19" w:rsidRPr="24F8E339">
        <w:rPr>
          <w:rFonts w:asciiTheme="minorHAnsi" w:hAnsiTheme="minorHAnsi" w:cstheme="minorBidi"/>
        </w:rPr>
        <w:t xml:space="preserve"> </w:t>
      </w:r>
      <w:r w:rsidR="00A06121" w:rsidRPr="24F8E339">
        <w:rPr>
          <w:rFonts w:asciiTheme="minorHAnsi" w:hAnsiTheme="minorHAnsi" w:cstheme="minorBidi"/>
        </w:rPr>
        <w:t>This does not mean that CUA is required every time. Some examples of where it could be argued that it is unnecessary are as follows:</w:t>
      </w:r>
    </w:p>
    <w:p w14:paraId="3BE3D72D" w14:textId="77777777" w:rsidR="00755C19" w:rsidRPr="00093DBE" w:rsidRDefault="00755C19" w:rsidP="24F8E339">
      <w:pPr>
        <w:jc w:val="both"/>
        <w:rPr>
          <w:rFonts w:asciiTheme="minorHAnsi" w:hAnsiTheme="minorHAnsi" w:cstheme="minorBidi"/>
        </w:rPr>
      </w:pPr>
    </w:p>
    <w:p w14:paraId="65895810" w14:textId="3B7F71B6" w:rsidR="00A06121" w:rsidRPr="00093DBE" w:rsidRDefault="00A06121" w:rsidP="0C32B371">
      <w:pPr>
        <w:numPr>
          <w:ilvl w:val="0"/>
          <w:numId w:val="4"/>
        </w:numPr>
        <w:jc w:val="both"/>
        <w:rPr>
          <w:rFonts w:asciiTheme="minorHAnsi" w:hAnsiTheme="minorHAnsi" w:cstheme="minorBidi"/>
        </w:rPr>
      </w:pPr>
      <w:r w:rsidRPr="0C32B371">
        <w:rPr>
          <w:rFonts w:asciiTheme="minorHAnsi" w:hAnsiTheme="minorHAnsi" w:cstheme="minorBidi"/>
        </w:rPr>
        <w:t>a medicine that extends life in good quality might be assessed using a cost-effectiveness analysis (CEA) with life-years gained as the benefit measure. The good quality of long-term survival would have to have some proof, however, and not merely be asserted in the submission.</w:t>
      </w:r>
    </w:p>
    <w:p w14:paraId="65895811" w14:textId="77777777" w:rsidR="00A06121" w:rsidRPr="00093DBE" w:rsidRDefault="00A06121" w:rsidP="0C32B371">
      <w:pPr>
        <w:numPr>
          <w:ilvl w:val="0"/>
          <w:numId w:val="4"/>
        </w:numPr>
        <w:jc w:val="both"/>
        <w:rPr>
          <w:rFonts w:asciiTheme="minorHAnsi" w:hAnsiTheme="minorHAnsi" w:cstheme="minorBidi"/>
        </w:rPr>
      </w:pPr>
      <w:r w:rsidRPr="0C32B371">
        <w:rPr>
          <w:rFonts w:asciiTheme="minorHAnsi" w:hAnsiTheme="minorHAnsi" w:cstheme="minorBidi"/>
        </w:rPr>
        <w:t>the QALY does not capture the main benefit of the medicine – contraception is one example.</w:t>
      </w:r>
    </w:p>
    <w:p w14:paraId="65895812" w14:textId="0A7F0CC4" w:rsidR="00A06121" w:rsidRPr="00093DBE" w:rsidRDefault="00A06121" w:rsidP="0C32B371">
      <w:pPr>
        <w:numPr>
          <w:ilvl w:val="0"/>
          <w:numId w:val="4"/>
        </w:numPr>
        <w:jc w:val="both"/>
        <w:rPr>
          <w:rFonts w:asciiTheme="minorHAnsi" w:hAnsiTheme="minorHAnsi" w:cstheme="minorBidi"/>
        </w:rPr>
      </w:pPr>
      <w:r w:rsidRPr="0C32B371">
        <w:rPr>
          <w:rFonts w:asciiTheme="minorHAnsi" w:hAnsiTheme="minorHAnsi" w:cstheme="minorBidi"/>
        </w:rPr>
        <w:t>utility values appear to lack sensitivity in circumstances where other measures suggest health improvements or disease reductions.  Again, this should be demonstrated and not simply asserted. SMC would need to be assured that the changes on the non-QALY measures are valued by patients.</w:t>
      </w:r>
    </w:p>
    <w:p w14:paraId="65895813" w14:textId="77777777" w:rsidR="00A06121" w:rsidRPr="00093DBE" w:rsidRDefault="00A06121">
      <w:pPr>
        <w:jc w:val="both"/>
        <w:rPr>
          <w:rFonts w:asciiTheme="minorHAnsi" w:hAnsiTheme="minorHAnsi" w:cstheme="minorHAnsi"/>
        </w:rPr>
      </w:pPr>
    </w:p>
    <w:p w14:paraId="65895814" w14:textId="0034B18C" w:rsidR="00A06121" w:rsidRPr="00093DBE" w:rsidRDefault="00A06121" w:rsidP="1F3D0C63">
      <w:pPr>
        <w:jc w:val="both"/>
        <w:rPr>
          <w:rFonts w:asciiTheme="minorHAnsi" w:hAnsiTheme="minorHAnsi" w:cstheme="minorBidi"/>
        </w:rPr>
      </w:pPr>
      <w:r w:rsidRPr="24F8E339">
        <w:rPr>
          <w:rFonts w:asciiTheme="minorHAnsi" w:hAnsiTheme="minorHAnsi" w:cstheme="minorBidi"/>
        </w:rPr>
        <w:t xml:space="preserve">One approach is a cost impact study concluding there are net economic costs savings, in addition to the clinical evidence suggesting the medicine is at least as good as the alternative (e.g. a ‘me-too’ drug). This approach clearly has </w:t>
      </w:r>
      <w:proofErr w:type="gramStart"/>
      <w:r w:rsidRPr="24F8E339">
        <w:rPr>
          <w:rFonts w:asciiTheme="minorHAnsi" w:hAnsiTheme="minorHAnsi" w:cstheme="minorBidi"/>
        </w:rPr>
        <w:t>merits</w:t>
      </w:r>
      <w:proofErr w:type="gramEnd"/>
      <w:r w:rsidRPr="24F8E339">
        <w:rPr>
          <w:rFonts w:asciiTheme="minorHAnsi" w:hAnsiTheme="minorHAnsi" w:cstheme="minorBidi"/>
        </w:rPr>
        <w:t xml:space="preserve"> </w:t>
      </w:r>
      <w:r w:rsidR="00A17B62" w:rsidRPr="24F8E339">
        <w:rPr>
          <w:rFonts w:asciiTheme="minorHAnsi" w:hAnsiTheme="minorHAnsi" w:cstheme="minorBidi"/>
        </w:rPr>
        <w:t xml:space="preserve">but </w:t>
      </w:r>
      <w:r w:rsidRPr="24F8E339">
        <w:rPr>
          <w:rFonts w:asciiTheme="minorHAnsi" w:hAnsiTheme="minorHAnsi" w:cstheme="minorBidi"/>
        </w:rPr>
        <w:t>it is not without risk. If the SMC does not agree with some aspect of the calculation of net cost, then this might undermine the claim of net saving. This might delay consideration of the submission or even lead to a judgement of “not recommended</w:t>
      </w:r>
      <w:r w:rsidR="002330C9" w:rsidRPr="24F8E339">
        <w:rPr>
          <w:rFonts w:asciiTheme="minorHAnsi" w:hAnsiTheme="minorHAnsi" w:cstheme="minorBidi"/>
        </w:rPr>
        <w:t>,</w:t>
      </w:r>
      <w:r w:rsidRPr="24F8E339">
        <w:rPr>
          <w:rFonts w:asciiTheme="minorHAnsi" w:hAnsiTheme="minorHAnsi" w:cstheme="minorBidi"/>
        </w:rPr>
        <w:t>” so this approach (while legitimate) should be used with caution.</w:t>
      </w:r>
    </w:p>
    <w:p w14:paraId="65895815" w14:textId="77777777" w:rsidR="00A06121" w:rsidRPr="00093DBE" w:rsidRDefault="00A06121" w:rsidP="1F3D0C63">
      <w:pPr>
        <w:jc w:val="both"/>
        <w:rPr>
          <w:rFonts w:asciiTheme="minorHAnsi" w:hAnsiTheme="minorHAnsi" w:cstheme="minorBidi"/>
        </w:rPr>
      </w:pPr>
    </w:p>
    <w:p w14:paraId="65895816" w14:textId="073EF0BF" w:rsidR="00A06121" w:rsidRPr="00093DBE" w:rsidRDefault="00A06121" w:rsidP="1F3D0C63">
      <w:pPr>
        <w:jc w:val="both"/>
        <w:rPr>
          <w:rFonts w:asciiTheme="minorHAnsi" w:hAnsiTheme="minorHAnsi" w:cstheme="minorBidi"/>
        </w:rPr>
      </w:pPr>
      <w:r w:rsidRPr="24F8E339">
        <w:rPr>
          <w:rFonts w:asciiTheme="minorHAnsi" w:hAnsiTheme="minorHAnsi" w:cstheme="minorBidi"/>
        </w:rPr>
        <w:t>The same could be said of a cost-minimisation analysis (CMA). This might be used where a clinical trial shows no difference in the main outcome. However, there may be objective organisational or patient issues that lead SMC to conclude that there are other aspects of benefit beyond the primary outcome selected; again, this might make a simple economic analysis seem inadequate.</w:t>
      </w:r>
    </w:p>
    <w:p w14:paraId="65895817" w14:textId="77777777" w:rsidR="00A06121" w:rsidRPr="00093DBE" w:rsidRDefault="00A06121">
      <w:pPr>
        <w:jc w:val="both"/>
        <w:rPr>
          <w:rFonts w:asciiTheme="minorHAnsi" w:hAnsiTheme="minorHAnsi" w:cstheme="minorHAnsi"/>
        </w:rPr>
      </w:pPr>
    </w:p>
    <w:p w14:paraId="65895818" w14:textId="4CCBDD3E" w:rsidR="00A06121" w:rsidRPr="00093DBE" w:rsidRDefault="00A06121" w:rsidP="1F3D0C63">
      <w:pPr>
        <w:jc w:val="both"/>
        <w:rPr>
          <w:rFonts w:asciiTheme="minorHAnsi" w:hAnsiTheme="minorHAnsi" w:cstheme="minorBidi"/>
        </w:rPr>
      </w:pPr>
      <w:r w:rsidRPr="24F8E339">
        <w:rPr>
          <w:rFonts w:asciiTheme="minorHAnsi" w:hAnsiTheme="minorHAnsi" w:cstheme="minorBidi"/>
        </w:rPr>
        <w:t xml:space="preserve">In summary, there may be circumstances where a simpler approach than CUA can be used but these should be considered with care by </w:t>
      </w:r>
      <w:r w:rsidR="0031795D" w:rsidRPr="24F8E339">
        <w:rPr>
          <w:rFonts w:asciiTheme="minorHAnsi" w:hAnsiTheme="minorHAnsi" w:cstheme="minorBidi"/>
        </w:rPr>
        <w:t>submitting companies</w:t>
      </w:r>
      <w:r w:rsidRPr="24F8E339">
        <w:rPr>
          <w:rFonts w:asciiTheme="minorHAnsi" w:hAnsiTheme="minorHAnsi" w:cstheme="minorBidi"/>
        </w:rPr>
        <w:t>. Conversely, submitting a CUA is no guarantee of success</w:t>
      </w:r>
      <w:r w:rsidR="00065FE0" w:rsidRPr="24F8E339">
        <w:rPr>
          <w:rFonts w:asciiTheme="minorHAnsi" w:hAnsiTheme="minorHAnsi" w:cstheme="minorBidi"/>
        </w:rPr>
        <w:t>.</w:t>
      </w:r>
    </w:p>
    <w:p w14:paraId="65895819" w14:textId="77777777" w:rsidR="00A06121" w:rsidRPr="00093DBE" w:rsidRDefault="00A06121">
      <w:pPr>
        <w:jc w:val="both"/>
        <w:rPr>
          <w:rFonts w:asciiTheme="minorHAnsi" w:hAnsiTheme="minorHAnsi" w:cstheme="minorHAnsi"/>
        </w:rPr>
      </w:pPr>
    </w:p>
    <w:p w14:paraId="6589581A" w14:textId="1C10D2A0"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Do I have to use Scottish data in the economic submission? Does SMC expect me to commission specific pieces of work for the submission?</w:t>
      </w:r>
    </w:p>
    <w:p w14:paraId="6589581B" w14:textId="77777777" w:rsidR="00A06121" w:rsidRPr="00093DBE" w:rsidRDefault="00A06121" w:rsidP="24F8E339">
      <w:pPr>
        <w:jc w:val="both"/>
        <w:rPr>
          <w:rFonts w:asciiTheme="minorHAnsi" w:hAnsiTheme="minorHAnsi" w:cstheme="minorBidi"/>
          <w:b/>
          <w:bCs/>
          <w:i/>
          <w:iCs/>
        </w:rPr>
      </w:pPr>
    </w:p>
    <w:p w14:paraId="6589581C" w14:textId="7074CD86" w:rsidR="00A06121" w:rsidRDefault="00A06121" w:rsidP="1F3D0C63">
      <w:pPr>
        <w:jc w:val="both"/>
        <w:rPr>
          <w:rFonts w:asciiTheme="minorHAnsi" w:hAnsiTheme="minorHAnsi" w:cstheme="minorBidi"/>
        </w:rPr>
      </w:pPr>
      <w:r w:rsidRPr="0C32B371">
        <w:rPr>
          <w:rFonts w:asciiTheme="minorHAnsi" w:hAnsiTheme="minorHAnsi" w:cstheme="minorBidi"/>
        </w:rPr>
        <w:t>The generalisability of evidence is a key consideration for the SMC. SMC recognises there are limitations on what can be achieved, especially when the product is so close to its launch date. Taking some of the main components of an economic evaluation in turn:</w:t>
      </w:r>
    </w:p>
    <w:p w14:paraId="5811A041" w14:textId="77777777" w:rsidR="00287994" w:rsidRPr="00093DBE" w:rsidRDefault="00287994">
      <w:pPr>
        <w:jc w:val="both"/>
        <w:rPr>
          <w:rFonts w:asciiTheme="minorHAnsi" w:hAnsiTheme="minorHAnsi" w:cstheme="minorHAnsi"/>
        </w:rPr>
      </w:pPr>
    </w:p>
    <w:p w14:paraId="6589581D" w14:textId="7C7823AA" w:rsidR="00A06121" w:rsidRPr="00093DBE" w:rsidRDefault="00A06121" w:rsidP="1F3D0C63">
      <w:pPr>
        <w:numPr>
          <w:ilvl w:val="0"/>
          <w:numId w:val="3"/>
        </w:numPr>
        <w:jc w:val="both"/>
        <w:rPr>
          <w:rFonts w:asciiTheme="minorHAnsi" w:hAnsiTheme="minorHAnsi" w:cstheme="minorBidi"/>
        </w:rPr>
      </w:pPr>
      <w:r w:rsidRPr="24F8E339">
        <w:rPr>
          <w:rFonts w:asciiTheme="minorHAnsi" w:hAnsiTheme="minorHAnsi" w:cstheme="minorBidi"/>
        </w:rPr>
        <w:t>Resource use – the SMC would require some reassurance that data used are broadly representative of Scottish patient pathways and clinical practice. Data from elsewhere in the UK are acceptable. Resource use data from other countries or estimated by a panel of experts are regarded with some suspicion and should be avoided if possible, or at least validated for the Scottish setting and included in a rigorous sensitivity analysis.</w:t>
      </w:r>
      <w:smartTag w:uri="urn:schemas-microsoft-com:office:smarttags" w:element="country-region"/>
      <w:smartTag w:uri="urn:schemas-microsoft-com:office:smarttags" w:element="place"/>
    </w:p>
    <w:p w14:paraId="6589581E" w14:textId="77777777" w:rsidR="00A06121" w:rsidRPr="00093DBE" w:rsidRDefault="00A06121">
      <w:pPr>
        <w:ind w:left="360"/>
        <w:jc w:val="both"/>
        <w:rPr>
          <w:rFonts w:asciiTheme="minorHAnsi" w:hAnsiTheme="minorHAnsi" w:cstheme="minorHAnsi"/>
        </w:rPr>
      </w:pPr>
    </w:p>
    <w:p w14:paraId="65895821" w14:textId="764D9DA6" w:rsidR="00A06121" w:rsidRPr="00093DBE" w:rsidRDefault="00A06121" w:rsidP="00093DBE">
      <w:pPr>
        <w:ind w:left="1080"/>
        <w:jc w:val="both"/>
        <w:rPr>
          <w:rFonts w:asciiTheme="minorHAnsi" w:hAnsiTheme="minorHAnsi" w:cstheme="minorBidi"/>
        </w:rPr>
      </w:pPr>
      <w:r w:rsidRPr="24F8E339">
        <w:rPr>
          <w:rFonts w:asciiTheme="minorHAnsi" w:hAnsiTheme="minorHAnsi" w:cstheme="minorBidi"/>
        </w:rPr>
        <w:t>Costs to value resource use – data on Scottish hospital costs are available on a per diem basis from Scottish Health Service Costs</w:t>
      </w:r>
      <w:r w:rsidR="00D50DDE" w:rsidRPr="24F8E339">
        <w:rPr>
          <w:rFonts w:asciiTheme="minorHAnsi" w:hAnsiTheme="minorHAnsi" w:cstheme="minorBidi"/>
        </w:rPr>
        <w:t xml:space="preserve"> publication</w:t>
      </w:r>
      <w:r w:rsidR="001431E8" w:rsidRPr="24F8E339">
        <w:rPr>
          <w:rFonts w:asciiTheme="minorHAnsi" w:hAnsiTheme="minorHAnsi" w:cstheme="minorBidi"/>
        </w:rPr>
        <w:t>. The</w:t>
      </w:r>
      <w:r w:rsidR="00D50DDE" w:rsidRPr="24F8E339">
        <w:rPr>
          <w:rFonts w:asciiTheme="minorHAnsi" w:hAnsiTheme="minorHAnsi" w:cstheme="minorBidi"/>
        </w:rPr>
        <w:t xml:space="preserve"> report covering the period 2022 to 2023 is available from the </w:t>
      </w:r>
      <w:hyperlink r:id="rId10" w:history="1">
        <w:r w:rsidR="00E50216" w:rsidRPr="24F8E339">
          <w:rPr>
            <w:rStyle w:val="Hyperlink"/>
            <w:rFonts w:asciiTheme="minorHAnsi" w:hAnsiTheme="minorHAnsi" w:cstheme="minorBidi"/>
          </w:rPr>
          <w:t>Public Health Scotland website</w:t>
        </w:r>
      </w:hyperlink>
      <w:r w:rsidR="00E50216" w:rsidRPr="24F8E339">
        <w:rPr>
          <w:rFonts w:asciiTheme="minorHAnsi" w:hAnsiTheme="minorHAnsi" w:cstheme="minorBidi"/>
        </w:rPr>
        <w:t xml:space="preserve">. </w:t>
      </w:r>
      <w:r w:rsidR="00221CBD" w:rsidRPr="24F8E339">
        <w:rPr>
          <w:rFonts w:asciiTheme="minorHAnsi" w:hAnsiTheme="minorHAnsi" w:cstheme="minorBidi"/>
        </w:rPr>
        <w:t>At the time of preparing a submission</w:t>
      </w:r>
      <w:r w:rsidR="00CA22F4" w:rsidRPr="24F8E339">
        <w:rPr>
          <w:rFonts w:asciiTheme="minorHAnsi" w:hAnsiTheme="minorHAnsi" w:cstheme="minorBidi"/>
        </w:rPr>
        <w:t xml:space="preserve">, the </w:t>
      </w:r>
      <w:r w:rsidR="00A2251D" w:rsidRPr="24F8E339">
        <w:rPr>
          <w:rFonts w:asciiTheme="minorHAnsi" w:hAnsiTheme="minorHAnsi" w:cstheme="minorBidi"/>
        </w:rPr>
        <w:t>submitting c</w:t>
      </w:r>
      <w:r w:rsidR="00CA22F4" w:rsidRPr="24F8E339">
        <w:rPr>
          <w:rFonts w:asciiTheme="minorHAnsi" w:hAnsiTheme="minorHAnsi" w:cstheme="minorBidi"/>
        </w:rPr>
        <w:t xml:space="preserve">ompany should check the Public Health Scotland </w:t>
      </w:r>
      <w:r w:rsidRPr="00093DBE">
        <w:rPr>
          <w:rFonts w:asciiTheme="minorHAnsi" w:hAnsiTheme="minorHAnsi" w:cstheme="minorBidi"/>
        </w:rPr>
        <w:t xml:space="preserve">website </w:t>
      </w:r>
      <w:r w:rsidR="00CA22F4" w:rsidRPr="24F8E339">
        <w:rPr>
          <w:rFonts w:asciiTheme="minorHAnsi" w:hAnsiTheme="minorHAnsi" w:cstheme="minorBidi"/>
        </w:rPr>
        <w:t xml:space="preserve">to ensure that the </w:t>
      </w:r>
      <w:r w:rsidRPr="00093DBE">
        <w:rPr>
          <w:rFonts w:asciiTheme="minorHAnsi" w:hAnsiTheme="minorHAnsi" w:cstheme="minorBidi"/>
        </w:rPr>
        <w:t>latest version</w:t>
      </w:r>
      <w:r w:rsidR="00CA22F4" w:rsidRPr="24F8E339">
        <w:rPr>
          <w:rFonts w:asciiTheme="minorHAnsi" w:hAnsiTheme="minorHAnsi" w:cstheme="minorBidi"/>
        </w:rPr>
        <w:t xml:space="preserve"> is being used</w:t>
      </w:r>
      <w:r w:rsidRPr="24F8E339">
        <w:rPr>
          <w:rFonts w:asciiTheme="minorHAnsi" w:hAnsiTheme="minorHAnsi" w:cstheme="minorBidi"/>
        </w:rPr>
        <w:t>.</w:t>
      </w:r>
    </w:p>
    <w:p w14:paraId="65895822" w14:textId="77777777" w:rsidR="00A06121" w:rsidRPr="00093DBE" w:rsidRDefault="00A06121" w:rsidP="24F8E339">
      <w:pPr>
        <w:autoSpaceDE w:val="0"/>
        <w:autoSpaceDN w:val="0"/>
        <w:adjustRightInd w:val="0"/>
        <w:ind w:left="1080"/>
        <w:jc w:val="both"/>
        <w:rPr>
          <w:rFonts w:asciiTheme="minorHAnsi" w:hAnsiTheme="minorHAnsi" w:cstheme="minorBidi"/>
        </w:rPr>
      </w:pPr>
    </w:p>
    <w:p w14:paraId="65895823" w14:textId="34E3B930" w:rsidR="00A06121" w:rsidRPr="00093DBE" w:rsidRDefault="00A06121" w:rsidP="24F8E339">
      <w:pPr>
        <w:ind w:left="1080"/>
        <w:jc w:val="both"/>
        <w:rPr>
          <w:rFonts w:asciiTheme="minorHAnsi" w:hAnsiTheme="minorHAnsi" w:cstheme="minorBidi"/>
        </w:rPr>
      </w:pPr>
      <w:r w:rsidRPr="24F8E339">
        <w:rPr>
          <w:rFonts w:asciiTheme="minorHAnsi" w:hAnsiTheme="minorHAnsi" w:cstheme="minorBidi"/>
        </w:rPr>
        <w:t>NHS Reference Costs from the Department of Health are acceptable. Primary care and community costs from the Unit Costs of Health Care publication by Personal Social Services Research Unit, University of Kent, are also acceptable. Other sources of cost data should be clearly explained.</w:t>
      </w:r>
    </w:p>
    <w:p w14:paraId="65895824" w14:textId="77777777" w:rsidR="00A06121" w:rsidRPr="00093DBE" w:rsidRDefault="00A06121">
      <w:pPr>
        <w:ind w:left="1080"/>
        <w:jc w:val="both"/>
        <w:rPr>
          <w:rFonts w:asciiTheme="minorHAnsi" w:hAnsiTheme="minorHAnsi" w:cstheme="minorHAnsi"/>
        </w:rPr>
      </w:pPr>
    </w:p>
    <w:p w14:paraId="65895825" w14:textId="77777777" w:rsidR="00A06121" w:rsidRPr="00093DBE" w:rsidRDefault="00A06121" w:rsidP="24F8E339">
      <w:pPr>
        <w:numPr>
          <w:ilvl w:val="0"/>
          <w:numId w:val="3"/>
        </w:numPr>
        <w:jc w:val="both"/>
        <w:rPr>
          <w:rFonts w:asciiTheme="minorHAnsi" w:hAnsiTheme="minorHAnsi" w:cstheme="minorBidi"/>
        </w:rPr>
      </w:pPr>
      <w:r w:rsidRPr="24F8E339">
        <w:rPr>
          <w:rFonts w:asciiTheme="minorHAnsi" w:hAnsiTheme="minorHAnsi" w:cstheme="minorBidi"/>
        </w:rPr>
        <w:t>Ways to value health gain such as utilities – specifically commissioned studies to support the SMC submission are not needed but in the face of concern about the values elicited from any method, the methodology, sample size and nature of respondents should be made transparent and the values be subject to a rigorous sensitivity analysis.</w:t>
      </w:r>
    </w:p>
    <w:p w14:paraId="65895826" w14:textId="77777777" w:rsidR="00A06121" w:rsidRPr="00093DBE" w:rsidRDefault="00A06121">
      <w:pPr>
        <w:jc w:val="both"/>
        <w:rPr>
          <w:rFonts w:asciiTheme="minorHAnsi" w:hAnsiTheme="minorHAnsi" w:cstheme="minorHAnsi"/>
        </w:rPr>
      </w:pPr>
    </w:p>
    <w:p w14:paraId="65895827" w14:textId="77777777"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 xml:space="preserve">If the economic </w:t>
      </w:r>
      <w:bookmarkStart w:id="0" w:name="_Int_IA7TLw3j"/>
      <w:r w:rsidRPr="24F8E339">
        <w:rPr>
          <w:rFonts w:asciiTheme="minorHAnsi" w:hAnsiTheme="minorHAnsi" w:cstheme="minorBidi"/>
          <w:b/>
          <w:bCs/>
          <w:i/>
          <w:iCs/>
        </w:rPr>
        <w:t>evidence</w:t>
      </w:r>
      <w:bookmarkEnd w:id="0"/>
      <w:r w:rsidRPr="24F8E339">
        <w:rPr>
          <w:rFonts w:asciiTheme="minorHAnsi" w:hAnsiTheme="minorHAnsi" w:cstheme="minorBidi"/>
          <w:b/>
          <w:bCs/>
          <w:i/>
          <w:iCs/>
        </w:rPr>
        <w:t xml:space="preserve"> I have available does not match the </w:t>
      </w:r>
      <w:bookmarkStart w:id="1" w:name="_Int_22skiB8Z"/>
      <w:r w:rsidRPr="24F8E339">
        <w:rPr>
          <w:rFonts w:asciiTheme="minorHAnsi" w:hAnsiTheme="minorHAnsi" w:cstheme="minorBidi"/>
          <w:b/>
          <w:bCs/>
          <w:i/>
          <w:iCs/>
        </w:rPr>
        <w:t>guidance</w:t>
      </w:r>
      <w:bookmarkEnd w:id="1"/>
      <w:r w:rsidRPr="24F8E339">
        <w:rPr>
          <w:rFonts w:asciiTheme="minorHAnsi" w:hAnsiTheme="minorHAnsi" w:cstheme="minorBidi"/>
          <w:b/>
          <w:bCs/>
          <w:i/>
          <w:iCs/>
        </w:rPr>
        <w:t xml:space="preserve"> then what should I do?</w:t>
      </w:r>
    </w:p>
    <w:p w14:paraId="65895828" w14:textId="77777777" w:rsidR="00A06121" w:rsidRPr="00093DBE" w:rsidRDefault="00A06121">
      <w:pPr>
        <w:jc w:val="both"/>
        <w:rPr>
          <w:rFonts w:asciiTheme="minorHAnsi" w:hAnsiTheme="minorHAnsi" w:cstheme="minorHAnsi"/>
          <w:b/>
          <w:i/>
        </w:rPr>
      </w:pPr>
    </w:p>
    <w:p w14:paraId="65895829" w14:textId="1F442FF2" w:rsidR="00A06121" w:rsidRPr="00093DBE" w:rsidRDefault="00A06121" w:rsidP="24F8E339">
      <w:pPr>
        <w:jc w:val="both"/>
        <w:rPr>
          <w:rFonts w:asciiTheme="minorHAnsi" w:hAnsiTheme="minorHAnsi" w:cstheme="minorBidi"/>
        </w:rPr>
      </w:pPr>
      <w:r w:rsidRPr="24F8E339">
        <w:rPr>
          <w:rFonts w:asciiTheme="minorHAnsi" w:hAnsiTheme="minorHAnsi" w:cstheme="minorBidi"/>
        </w:rPr>
        <w:t xml:space="preserve">The SMC recognises that not every point of guidance will apply to all economic evaluations; equally, there will be times when data requested by SMC are not available. It is easier for the SMC to understand the evidence presented when the </w:t>
      </w:r>
      <w:r w:rsidR="0031795D" w:rsidRPr="24F8E339">
        <w:rPr>
          <w:rFonts w:asciiTheme="minorHAnsi" w:hAnsiTheme="minorHAnsi" w:cstheme="minorBidi"/>
        </w:rPr>
        <w:t>submitting company</w:t>
      </w:r>
      <w:r w:rsidRPr="24F8E339">
        <w:rPr>
          <w:rFonts w:asciiTheme="minorHAnsi" w:hAnsiTheme="minorHAnsi" w:cstheme="minorBidi"/>
        </w:rPr>
        <w:t xml:space="preserve"> makes a clear statement about why a particular approach was selected in preference to another, or why some data items are not available.</w:t>
      </w:r>
    </w:p>
    <w:p w14:paraId="6589582A" w14:textId="77777777" w:rsidR="00A06121" w:rsidRPr="00093DBE" w:rsidRDefault="00A06121">
      <w:pPr>
        <w:jc w:val="both"/>
        <w:rPr>
          <w:rFonts w:asciiTheme="minorHAnsi" w:hAnsiTheme="minorHAnsi" w:cstheme="minorHAnsi"/>
        </w:rPr>
      </w:pPr>
    </w:p>
    <w:p w14:paraId="6589582B" w14:textId="6DBE32BB"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What does the N</w:t>
      </w:r>
      <w:r w:rsidR="00D926A6" w:rsidRPr="24F8E339">
        <w:rPr>
          <w:rFonts w:asciiTheme="minorHAnsi" w:hAnsiTheme="minorHAnsi" w:cstheme="minorBidi"/>
          <w:b/>
          <w:bCs/>
          <w:i/>
          <w:iCs/>
        </w:rPr>
        <w:t>DC</w:t>
      </w:r>
      <w:r w:rsidRPr="24F8E339">
        <w:rPr>
          <w:rFonts w:asciiTheme="minorHAnsi" w:hAnsiTheme="minorHAnsi" w:cstheme="minorBidi"/>
          <w:b/>
          <w:bCs/>
          <w:i/>
          <w:iCs/>
        </w:rPr>
        <w:t xml:space="preserve"> of SMC particularly value in an economic submission?</w:t>
      </w:r>
    </w:p>
    <w:p w14:paraId="6589582C" w14:textId="77777777" w:rsidR="00A06121" w:rsidRPr="00093DBE" w:rsidRDefault="00A06121" w:rsidP="24F8E339">
      <w:pPr>
        <w:jc w:val="both"/>
        <w:rPr>
          <w:rFonts w:asciiTheme="minorHAnsi" w:hAnsiTheme="minorHAnsi" w:cstheme="minorBidi"/>
          <w:b/>
          <w:bCs/>
          <w:i/>
          <w:iCs/>
        </w:rPr>
      </w:pPr>
    </w:p>
    <w:p w14:paraId="6589582D" w14:textId="42B09A44" w:rsidR="00A06121" w:rsidRPr="00093DBE" w:rsidRDefault="00A06121" w:rsidP="24F8E339">
      <w:pPr>
        <w:jc w:val="both"/>
        <w:rPr>
          <w:rFonts w:asciiTheme="minorHAnsi" w:hAnsiTheme="minorHAnsi" w:cstheme="minorBidi"/>
        </w:rPr>
      </w:pPr>
      <w:r w:rsidRPr="24F8E339">
        <w:rPr>
          <w:rFonts w:asciiTheme="minorHAnsi" w:hAnsiTheme="minorHAnsi" w:cstheme="minorBidi"/>
        </w:rPr>
        <w:t xml:space="preserve">The following comments are intended to assist </w:t>
      </w:r>
      <w:r w:rsidR="0031795D" w:rsidRPr="24F8E339">
        <w:rPr>
          <w:rFonts w:asciiTheme="minorHAnsi" w:hAnsiTheme="minorHAnsi" w:cstheme="minorBidi"/>
        </w:rPr>
        <w:t>submitting companies</w:t>
      </w:r>
      <w:r w:rsidRPr="24F8E339">
        <w:rPr>
          <w:rFonts w:asciiTheme="minorHAnsi" w:hAnsiTheme="minorHAnsi" w:cstheme="minorBidi"/>
        </w:rPr>
        <w:t xml:space="preserve"> and are not a checklist of points that will guarantee success if adhered to.</w:t>
      </w:r>
    </w:p>
    <w:p w14:paraId="6589582E" w14:textId="77777777" w:rsidR="00852273" w:rsidRPr="00093DBE" w:rsidRDefault="00852273">
      <w:pPr>
        <w:jc w:val="both"/>
        <w:rPr>
          <w:rFonts w:asciiTheme="minorHAnsi" w:hAnsiTheme="minorHAnsi" w:cstheme="minorHAnsi"/>
        </w:rPr>
      </w:pPr>
    </w:p>
    <w:p w14:paraId="5071EFE4" w14:textId="2687971C" w:rsidR="00A06121" w:rsidRPr="00093DBE" w:rsidRDefault="00A06121" w:rsidP="24F8E339">
      <w:pPr>
        <w:jc w:val="both"/>
        <w:rPr>
          <w:rFonts w:asciiTheme="minorHAnsi" w:hAnsiTheme="minorHAnsi" w:cstheme="minorBidi"/>
        </w:rPr>
      </w:pPr>
      <w:r w:rsidRPr="24F8E339">
        <w:rPr>
          <w:rFonts w:asciiTheme="minorHAnsi" w:hAnsiTheme="minorHAnsi" w:cstheme="minorBidi"/>
        </w:rPr>
        <w:t>Firstly, the SMC’s concerns may pertain to the clinical evidence but sometimes the economic evaluation highlights these issues. For example, a medicine might have shown a statistically significant difference on a disease-specific outcome measure but the economic evaluation raises the question of what value this has to the patient, and hence whether this justifies the proposed cost. It is an advantage if the submission includes results that directly measure improvements in the patient’s quality of life rather than in a proxy measure. SMC places great weight on the patient’s perspective on health gain.</w:t>
      </w:r>
    </w:p>
    <w:p w14:paraId="65895830" w14:textId="77777777" w:rsidR="00A06121" w:rsidRPr="00093DBE" w:rsidRDefault="00A06121">
      <w:pPr>
        <w:jc w:val="both"/>
        <w:rPr>
          <w:rFonts w:asciiTheme="minorHAnsi" w:hAnsiTheme="minorHAnsi" w:cstheme="minorHAnsi"/>
        </w:rPr>
      </w:pPr>
    </w:p>
    <w:p w14:paraId="65895831" w14:textId="15F011A9" w:rsidR="00A06121" w:rsidRPr="00093DBE" w:rsidRDefault="00A06121" w:rsidP="24F8E339">
      <w:pPr>
        <w:jc w:val="both"/>
        <w:rPr>
          <w:rFonts w:asciiTheme="minorHAnsi" w:hAnsiTheme="minorHAnsi" w:cstheme="minorBidi"/>
        </w:rPr>
      </w:pPr>
      <w:r w:rsidRPr="24F8E339">
        <w:rPr>
          <w:rFonts w:asciiTheme="minorHAnsi" w:hAnsiTheme="minorHAnsi" w:cstheme="minorBidi"/>
        </w:rPr>
        <w:t xml:space="preserve">Secondly, a rigorous sensitivity analysis may demonstrate the robustness of the base case result. It is well known that economic evaluations are very demanding in terms of data inputs and at this stage of a product’s life very little is known with certainty. </w:t>
      </w:r>
      <w:r w:rsidR="001B3C8A" w:rsidRPr="24F8E339">
        <w:rPr>
          <w:rFonts w:asciiTheme="minorHAnsi" w:hAnsiTheme="minorHAnsi" w:cstheme="minorBidi"/>
        </w:rPr>
        <w:t xml:space="preserve">Appropriate use </w:t>
      </w:r>
      <w:r w:rsidR="00F05AA4" w:rsidRPr="24F8E339">
        <w:rPr>
          <w:rFonts w:asciiTheme="minorHAnsi" w:hAnsiTheme="minorHAnsi" w:cstheme="minorBidi"/>
        </w:rPr>
        <w:t xml:space="preserve">should be made </w:t>
      </w:r>
      <w:r w:rsidR="001B3C8A" w:rsidRPr="24F8E339">
        <w:rPr>
          <w:rFonts w:asciiTheme="minorHAnsi" w:hAnsiTheme="minorHAnsi" w:cstheme="minorBidi"/>
        </w:rPr>
        <w:t xml:space="preserve">of one-way, scenario, threshold and probabilistic sensitivity </w:t>
      </w:r>
      <w:r w:rsidR="00F05AA4" w:rsidRPr="24F8E339">
        <w:rPr>
          <w:rFonts w:asciiTheme="minorHAnsi" w:hAnsiTheme="minorHAnsi" w:cstheme="minorBidi"/>
        </w:rPr>
        <w:t>analys</w:t>
      </w:r>
      <w:r w:rsidR="00A81B27" w:rsidRPr="24F8E339">
        <w:rPr>
          <w:rFonts w:asciiTheme="minorHAnsi" w:hAnsiTheme="minorHAnsi" w:cstheme="minorBidi"/>
        </w:rPr>
        <w:t>e</w:t>
      </w:r>
      <w:r w:rsidR="00F05AA4" w:rsidRPr="24F8E339">
        <w:rPr>
          <w:rFonts w:asciiTheme="minorHAnsi" w:hAnsiTheme="minorHAnsi" w:cstheme="minorBidi"/>
        </w:rPr>
        <w:t>s</w:t>
      </w:r>
      <w:r w:rsidRPr="24F8E339">
        <w:rPr>
          <w:rFonts w:asciiTheme="minorHAnsi" w:hAnsiTheme="minorHAnsi" w:cstheme="minorBidi"/>
        </w:rPr>
        <w:t>.</w:t>
      </w:r>
    </w:p>
    <w:p w14:paraId="65895832" w14:textId="77777777" w:rsidR="00A06121" w:rsidRPr="00093DBE" w:rsidRDefault="00A06121">
      <w:pPr>
        <w:jc w:val="both"/>
        <w:rPr>
          <w:rFonts w:asciiTheme="minorHAnsi" w:hAnsiTheme="minorHAnsi" w:cstheme="minorHAnsi"/>
        </w:rPr>
      </w:pPr>
    </w:p>
    <w:p w14:paraId="65895833" w14:textId="2956F17B" w:rsidR="00A06121" w:rsidRPr="00093DBE" w:rsidRDefault="00A06121" w:rsidP="24F8E339">
      <w:pPr>
        <w:jc w:val="both"/>
        <w:rPr>
          <w:rFonts w:asciiTheme="minorHAnsi" w:hAnsiTheme="minorHAnsi" w:cstheme="minorBidi"/>
          <w:b/>
          <w:bCs/>
          <w:i/>
          <w:iCs/>
        </w:rPr>
      </w:pPr>
      <w:r w:rsidRPr="24F8E339">
        <w:rPr>
          <w:rFonts w:asciiTheme="minorHAnsi" w:hAnsiTheme="minorHAnsi" w:cstheme="minorBidi"/>
          <w:b/>
          <w:bCs/>
          <w:i/>
          <w:iCs/>
        </w:rPr>
        <w:t>How does consideration by SMC differ from consideration by the N</w:t>
      </w:r>
      <w:r w:rsidR="00D926A6" w:rsidRPr="24F8E339">
        <w:rPr>
          <w:rFonts w:asciiTheme="minorHAnsi" w:hAnsiTheme="minorHAnsi" w:cstheme="minorBidi"/>
          <w:b/>
          <w:bCs/>
          <w:i/>
          <w:iCs/>
        </w:rPr>
        <w:t>DC</w:t>
      </w:r>
      <w:r w:rsidRPr="24F8E339">
        <w:rPr>
          <w:rFonts w:asciiTheme="minorHAnsi" w:hAnsiTheme="minorHAnsi" w:cstheme="minorBidi"/>
          <w:b/>
          <w:bCs/>
          <w:i/>
          <w:iCs/>
        </w:rPr>
        <w:t>?</w:t>
      </w:r>
    </w:p>
    <w:p w14:paraId="65895834" w14:textId="77777777" w:rsidR="00A06121" w:rsidRPr="00093DBE" w:rsidRDefault="00A06121" w:rsidP="24F8E339">
      <w:pPr>
        <w:jc w:val="both"/>
        <w:rPr>
          <w:rFonts w:asciiTheme="minorHAnsi" w:hAnsiTheme="minorHAnsi" w:cstheme="minorBidi"/>
          <w:b/>
          <w:bCs/>
          <w:i/>
          <w:iCs/>
        </w:rPr>
      </w:pPr>
    </w:p>
    <w:p w14:paraId="40754DB8" w14:textId="11861B12" w:rsidR="00220A24" w:rsidRDefault="00A06121" w:rsidP="24F8E339">
      <w:pPr>
        <w:jc w:val="both"/>
        <w:rPr>
          <w:rFonts w:asciiTheme="minorHAnsi" w:hAnsiTheme="minorHAnsi" w:cstheme="minorBidi"/>
        </w:rPr>
      </w:pPr>
      <w:r w:rsidRPr="00093DBE">
        <w:rPr>
          <w:rFonts w:asciiTheme="minorHAnsi" w:hAnsiTheme="minorHAnsi" w:cstheme="minorBidi"/>
        </w:rPr>
        <w:t>The N</w:t>
      </w:r>
      <w:r w:rsidR="00D926A6" w:rsidRPr="24F8E339">
        <w:rPr>
          <w:rFonts w:asciiTheme="minorHAnsi" w:hAnsiTheme="minorHAnsi" w:cstheme="minorBidi"/>
        </w:rPr>
        <w:t>DC</w:t>
      </w:r>
      <w:r w:rsidRPr="24F8E339">
        <w:rPr>
          <w:rFonts w:asciiTheme="minorHAnsi" w:hAnsiTheme="minorHAnsi" w:cstheme="minorBidi"/>
        </w:rPr>
        <w:t xml:space="preserve"> looks at the submission first. This group is composed of doctors, pharmacists, nurse</w:t>
      </w:r>
      <w:r w:rsidR="006B5B0F" w:rsidRPr="24F8E339">
        <w:rPr>
          <w:rFonts w:asciiTheme="minorHAnsi" w:hAnsiTheme="minorHAnsi" w:cstheme="minorBidi"/>
        </w:rPr>
        <w:t xml:space="preserve">s, </w:t>
      </w:r>
      <w:r w:rsidR="65CAC685" w:rsidRPr="24F8E339">
        <w:rPr>
          <w:rFonts w:asciiTheme="minorHAnsi" w:hAnsiTheme="minorHAnsi" w:cstheme="minorBidi"/>
        </w:rPr>
        <w:t xml:space="preserve">and </w:t>
      </w:r>
      <w:r w:rsidR="006B5B0F" w:rsidRPr="24F8E339">
        <w:rPr>
          <w:rFonts w:asciiTheme="minorHAnsi" w:hAnsiTheme="minorHAnsi" w:cstheme="minorBidi"/>
        </w:rPr>
        <w:t xml:space="preserve">representatives from </w:t>
      </w:r>
      <w:proofErr w:type="gramStart"/>
      <w:r w:rsidR="006B5B0F" w:rsidRPr="24F8E339">
        <w:rPr>
          <w:rFonts w:asciiTheme="minorHAnsi" w:hAnsiTheme="minorHAnsi" w:cstheme="minorBidi"/>
        </w:rPr>
        <w:t>industry</w:t>
      </w:r>
      <w:r w:rsidR="69B33895" w:rsidRPr="24F8E339">
        <w:rPr>
          <w:rFonts w:asciiTheme="minorHAnsi" w:hAnsiTheme="minorHAnsi" w:cstheme="minorBidi"/>
        </w:rPr>
        <w:t>.</w:t>
      </w:r>
      <w:r w:rsidRPr="24F8E339">
        <w:rPr>
          <w:rFonts w:asciiTheme="minorHAnsi" w:hAnsiTheme="minorHAnsi" w:cstheme="minorBidi"/>
        </w:rPr>
        <w:t>.</w:t>
      </w:r>
      <w:proofErr w:type="gramEnd"/>
      <w:r w:rsidRPr="24F8E339">
        <w:rPr>
          <w:rFonts w:asciiTheme="minorHAnsi" w:hAnsiTheme="minorHAnsi" w:cstheme="minorBidi"/>
        </w:rPr>
        <w:t xml:space="preserve"> The main task of this group is to exercise critical appraisal skills to assess the strengths and weaknesses of the scientific case as presented by the </w:t>
      </w:r>
      <w:r w:rsidR="000314FA" w:rsidRPr="24F8E339">
        <w:rPr>
          <w:rFonts w:asciiTheme="minorHAnsi" w:hAnsiTheme="minorHAnsi" w:cstheme="minorBidi"/>
        </w:rPr>
        <w:t>submitting company</w:t>
      </w:r>
      <w:r w:rsidRPr="24F8E339">
        <w:rPr>
          <w:rFonts w:asciiTheme="minorHAnsi" w:hAnsiTheme="minorHAnsi" w:cstheme="minorBidi"/>
        </w:rPr>
        <w:t xml:space="preserve">. It can only assess the </w:t>
      </w:r>
      <w:r w:rsidR="009972B0" w:rsidRPr="24F8E339">
        <w:rPr>
          <w:rFonts w:asciiTheme="minorHAnsi" w:hAnsiTheme="minorHAnsi" w:cstheme="minorBidi"/>
        </w:rPr>
        <w:t>medicine</w:t>
      </w:r>
      <w:r w:rsidRPr="00093DBE">
        <w:rPr>
          <w:rFonts w:asciiTheme="minorHAnsi" w:hAnsiTheme="minorHAnsi" w:cstheme="minorBidi"/>
        </w:rPr>
        <w:t xml:space="preserve"> through the information from the submission.</w:t>
      </w:r>
    </w:p>
    <w:p w14:paraId="6C502EBB" w14:textId="77777777" w:rsidR="00220A24" w:rsidRDefault="00220A24" w:rsidP="24F8E339">
      <w:pPr>
        <w:jc w:val="both"/>
        <w:rPr>
          <w:rFonts w:asciiTheme="minorHAnsi" w:hAnsiTheme="minorHAnsi" w:cstheme="minorBidi"/>
        </w:rPr>
      </w:pPr>
    </w:p>
    <w:p w14:paraId="0BD3C0BD" w14:textId="2DC29825" w:rsidR="00220A24" w:rsidRDefault="001661CD" w:rsidP="24F8E339">
      <w:pPr>
        <w:jc w:val="both"/>
        <w:rPr>
          <w:rFonts w:asciiTheme="minorHAnsi" w:hAnsiTheme="minorHAnsi" w:cstheme="minorBidi"/>
        </w:rPr>
      </w:pPr>
      <w:r w:rsidRPr="24F8E339">
        <w:rPr>
          <w:rFonts w:asciiTheme="minorHAnsi" w:hAnsiTheme="minorHAnsi" w:cstheme="minorBidi"/>
        </w:rPr>
        <w:t>In</w:t>
      </w:r>
      <w:r w:rsidR="00986748" w:rsidRPr="24F8E339">
        <w:rPr>
          <w:rFonts w:asciiTheme="minorHAnsi" w:hAnsiTheme="minorHAnsi" w:cstheme="minorBidi"/>
        </w:rPr>
        <w:t xml:space="preserve"> some circumstances, </w:t>
      </w:r>
      <w:r w:rsidR="00E467E0" w:rsidRPr="24F8E339">
        <w:rPr>
          <w:rFonts w:asciiTheme="minorHAnsi" w:hAnsiTheme="minorHAnsi" w:cstheme="minorBidi"/>
        </w:rPr>
        <w:t xml:space="preserve">where the presented clinical and economic cases are particularly </w:t>
      </w:r>
      <w:r w:rsidR="009219CD" w:rsidRPr="24F8E339">
        <w:rPr>
          <w:rFonts w:asciiTheme="minorHAnsi" w:hAnsiTheme="minorHAnsi" w:cstheme="minorBidi"/>
        </w:rPr>
        <w:t>strong</w:t>
      </w:r>
      <w:r w:rsidR="00532763" w:rsidRPr="24F8E339">
        <w:rPr>
          <w:rFonts w:asciiTheme="minorHAnsi" w:hAnsiTheme="minorHAnsi" w:cstheme="minorBidi"/>
        </w:rPr>
        <w:t>, the</w:t>
      </w:r>
      <w:r w:rsidR="006D15D8" w:rsidRPr="24F8E339">
        <w:rPr>
          <w:rFonts w:asciiTheme="minorHAnsi" w:hAnsiTheme="minorHAnsi" w:cstheme="minorBidi"/>
        </w:rPr>
        <w:t xml:space="preserve"> NDC may choose to issue an accepted decision on a medicine they have review</w:t>
      </w:r>
      <w:r w:rsidR="00034A29" w:rsidRPr="24F8E339">
        <w:rPr>
          <w:rFonts w:asciiTheme="minorHAnsi" w:hAnsiTheme="minorHAnsi" w:cstheme="minorBidi"/>
        </w:rPr>
        <w:t xml:space="preserve">ed. In this case a final acceptance decision will be taken by the SMC Executive, rather than the </w:t>
      </w:r>
      <w:r w:rsidR="000C5C44" w:rsidRPr="24F8E339">
        <w:rPr>
          <w:rFonts w:asciiTheme="minorHAnsi" w:hAnsiTheme="minorHAnsi" w:cstheme="minorBidi"/>
        </w:rPr>
        <w:t>full SMC committee. This will speed up the acceptance process for the medicine.</w:t>
      </w:r>
    </w:p>
    <w:p w14:paraId="47A77D62" w14:textId="77777777" w:rsidR="00220A24" w:rsidRDefault="00220A24" w:rsidP="24F8E339">
      <w:pPr>
        <w:jc w:val="both"/>
        <w:rPr>
          <w:rFonts w:asciiTheme="minorHAnsi" w:hAnsiTheme="minorHAnsi" w:cstheme="minorBidi"/>
        </w:rPr>
      </w:pPr>
    </w:p>
    <w:p w14:paraId="65895835" w14:textId="1A25BEC0" w:rsidR="00A06121" w:rsidRPr="00093DBE" w:rsidRDefault="000C5C44" w:rsidP="24F8E339">
      <w:pPr>
        <w:jc w:val="both"/>
        <w:rPr>
          <w:rFonts w:asciiTheme="minorHAnsi" w:hAnsiTheme="minorHAnsi" w:cstheme="minorBidi"/>
        </w:rPr>
      </w:pPr>
      <w:r w:rsidRPr="24F8E339">
        <w:rPr>
          <w:rFonts w:asciiTheme="minorHAnsi" w:hAnsiTheme="minorHAnsi" w:cstheme="minorBidi"/>
        </w:rPr>
        <w:t xml:space="preserve">In instances where the </w:t>
      </w:r>
      <w:r w:rsidR="00A06121" w:rsidRPr="24F8E339">
        <w:rPr>
          <w:rFonts w:asciiTheme="minorHAnsi" w:hAnsiTheme="minorHAnsi" w:cstheme="minorBidi"/>
        </w:rPr>
        <w:t xml:space="preserve">NDC </w:t>
      </w:r>
      <w:r w:rsidR="00F57B0F" w:rsidRPr="24F8E339">
        <w:rPr>
          <w:rFonts w:asciiTheme="minorHAnsi" w:hAnsiTheme="minorHAnsi" w:cstheme="minorBidi"/>
        </w:rPr>
        <w:t>view that</w:t>
      </w:r>
      <w:r w:rsidR="00DF7913" w:rsidRPr="24F8E339">
        <w:rPr>
          <w:rFonts w:asciiTheme="minorHAnsi" w:hAnsiTheme="minorHAnsi" w:cstheme="minorBidi"/>
        </w:rPr>
        <w:t xml:space="preserve"> </w:t>
      </w:r>
      <w:r w:rsidR="00E76221" w:rsidRPr="24F8E339">
        <w:rPr>
          <w:rFonts w:asciiTheme="minorHAnsi" w:hAnsiTheme="minorHAnsi" w:cstheme="minorBidi"/>
        </w:rPr>
        <w:t xml:space="preserve">significant uncertainties remain, or that the cost in relation to the estimated health </w:t>
      </w:r>
      <w:r w:rsidR="00A81A76" w:rsidRPr="24F8E339">
        <w:rPr>
          <w:rFonts w:asciiTheme="minorHAnsi" w:hAnsiTheme="minorHAnsi" w:cstheme="minorBidi"/>
        </w:rPr>
        <w:t>benefits</w:t>
      </w:r>
      <w:r w:rsidR="00E76221" w:rsidRPr="24F8E339">
        <w:rPr>
          <w:rFonts w:asciiTheme="minorHAnsi" w:hAnsiTheme="minorHAnsi" w:cstheme="minorBidi"/>
        </w:rPr>
        <w:t xml:space="preserve"> remain high, </w:t>
      </w:r>
      <w:r w:rsidR="00A81A76" w:rsidRPr="24F8E339">
        <w:rPr>
          <w:rFonts w:asciiTheme="minorHAnsi" w:hAnsiTheme="minorHAnsi" w:cstheme="minorBidi"/>
        </w:rPr>
        <w:t>the submission will progress to a review by the full SMC committee.</w:t>
      </w:r>
    </w:p>
    <w:p w14:paraId="65895836" w14:textId="77777777" w:rsidR="00A06121" w:rsidRPr="00093DBE" w:rsidRDefault="00A06121">
      <w:pPr>
        <w:jc w:val="both"/>
        <w:rPr>
          <w:rFonts w:asciiTheme="minorHAnsi" w:hAnsiTheme="minorHAnsi" w:cstheme="minorHAnsi"/>
        </w:rPr>
      </w:pPr>
    </w:p>
    <w:p w14:paraId="65895837" w14:textId="49F0C1BA" w:rsidR="00A06121" w:rsidRPr="00093DBE" w:rsidRDefault="00416326" w:rsidP="24F8E339">
      <w:pPr>
        <w:jc w:val="both"/>
        <w:rPr>
          <w:rFonts w:asciiTheme="minorHAnsi" w:hAnsiTheme="minorHAnsi" w:cstheme="minorBidi"/>
        </w:rPr>
      </w:pPr>
      <w:r w:rsidRPr="24F8E339">
        <w:rPr>
          <w:rFonts w:asciiTheme="minorHAnsi" w:hAnsiTheme="minorHAnsi" w:cstheme="minorBidi"/>
        </w:rPr>
        <w:t xml:space="preserve">The </w:t>
      </w:r>
      <w:r w:rsidR="00A06121" w:rsidRPr="00093DBE">
        <w:rPr>
          <w:rFonts w:asciiTheme="minorHAnsi" w:hAnsiTheme="minorHAnsi" w:cstheme="minorBidi"/>
        </w:rPr>
        <w:t xml:space="preserve">SMC </w:t>
      </w:r>
      <w:r w:rsidRPr="24F8E339">
        <w:rPr>
          <w:rFonts w:asciiTheme="minorHAnsi" w:hAnsiTheme="minorHAnsi" w:cstheme="minorBidi"/>
        </w:rPr>
        <w:t xml:space="preserve">committee </w:t>
      </w:r>
      <w:r w:rsidR="00A06121" w:rsidRPr="24F8E339">
        <w:rPr>
          <w:rFonts w:asciiTheme="minorHAnsi" w:hAnsiTheme="minorHAnsi" w:cstheme="minorBidi"/>
        </w:rPr>
        <w:t>has a broader representation and includes the groups above plus patient representatives</w:t>
      </w:r>
      <w:r w:rsidR="41BF4BD0" w:rsidRPr="24F8E339">
        <w:rPr>
          <w:rFonts w:asciiTheme="minorHAnsi" w:hAnsiTheme="minorHAnsi" w:cstheme="minorBidi"/>
        </w:rPr>
        <w:t>, academic health economists</w:t>
      </w:r>
      <w:r w:rsidR="001D2529" w:rsidRPr="24F8E339">
        <w:rPr>
          <w:rFonts w:asciiTheme="minorHAnsi" w:hAnsiTheme="minorHAnsi" w:cstheme="minorBidi"/>
        </w:rPr>
        <w:t xml:space="preserve"> and </w:t>
      </w:r>
      <w:r w:rsidR="5CE5317C" w:rsidRPr="24F8E339">
        <w:rPr>
          <w:rFonts w:asciiTheme="minorHAnsi" w:hAnsiTheme="minorHAnsi" w:cstheme="minorBidi"/>
        </w:rPr>
        <w:t xml:space="preserve">staff holding </w:t>
      </w:r>
      <w:r w:rsidR="001D2529" w:rsidRPr="24F8E339">
        <w:rPr>
          <w:rFonts w:asciiTheme="minorHAnsi" w:hAnsiTheme="minorHAnsi" w:cstheme="minorBidi"/>
        </w:rPr>
        <w:t>senior leaders</w:t>
      </w:r>
      <w:r w:rsidR="02776D58" w:rsidRPr="24F8E339">
        <w:rPr>
          <w:rFonts w:asciiTheme="minorHAnsi" w:hAnsiTheme="minorHAnsi" w:cstheme="minorBidi"/>
        </w:rPr>
        <w:t>hip roles</w:t>
      </w:r>
      <w:r w:rsidR="001D2529" w:rsidRPr="24F8E339">
        <w:rPr>
          <w:rFonts w:asciiTheme="minorHAnsi" w:hAnsiTheme="minorHAnsi" w:cstheme="minorBidi"/>
        </w:rPr>
        <w:t xml:space="preserve"> in the NHS.</w:t>
      </w:r>
      <w:r w:rsidR="00A06121" w:rsidRPr="24F8E339">
        <w:rPr>
          <w:rFonts w:asciiTheme="minorHAnsi" w:hAnsiTheme="minorHAnsi" w:cstheme="minorBidi"/>
        </w:rPr>
        <w:t xml:space="preserve"> SMC members receive various documents, including the </w:t>
      </w:r>
      <w:r w:rsidR="00047917" w:rsidRPr="24F8E339">
        <w:rPr>
          <w:rFonts w:asciiTheme="minorHAnsi" w:hAnsiTheme="minorHAnsi" w:cstheme="minorBidi"/>
        </w:rPr>
        <w:t>submitting company’s</w:t>
      </w:r>
      <w:r w:rsidR="00A06121" w:rsidRPr="24F8E339">
        <w:rPr>
          <w:rFonts w:asciiTheme="minorHAnsi" w:hAnsiTheme="minorHAnsi" w:cstheme="minorBidi"/>
        </w:rPr>
        <w:t xml:space="preserve"> submission, the </w:t>
      </w:r>
      <w:r w:rsidR="00A03E83" w:rsidRPr="24F8E339">
        <w:rPr>
          <w:rFonts w:asciiTheme="minorHAnsi" w:hAnsiTheme="minorHAnsi" w:cstheme="minorBidi"/>
        </w:rPr>
        <w:t xml:space="preserve">completed </w:t>
      </w:r>
      <w:r w:rsidR="00A06121" w:rsidRPr="24F8E339">
        <w:rPr>
          <w:rFonts w:asciiTheme="minorHAnsi" w:hAnsiTheme="minorHAnsi" w:cstheme="minorBidi"/>
        </w:rPr>
        <w:t>economic c</w:t>
      </w:r>
      <w:r w:rsidR="00A03E83" w:rsidRPr="24F8E339">
        <w:rPr>
          <w:rFonts w:asciiTheme="minorHAnsi" w:hAnsiTheme="minorHAnsi" w:cstheme="minorBidi"/>
        </w:rPr>
        <w:t>hecklist</w:t>
      </w:r>
      <w:r w:rsidR="00A06121" w:rsidRPr="24F8E339">
        <w:rPr>
          <w:rFonts w:asciiTheme="minorHAnsi" w:hAnsiTheme="minorHAnsi" w:cstheme="minorBidi"/>
        </w:rPr>
        <w:t>, the summary of product characteristics</w:t>
      </w:r>
      <w:r w:rsidR="00C62ECC" w:rsidRPr="24F8E339">
        <w:rPr>
          <w:rFonts w:asciiTheme="minorHAnsi" w:hAnsiTheme="minorHAnsi" w:cstheme="minorBidi"/>
        </w:rPr>
        <w:t xml:space="preserve">, collated feedback from Scottish </w:t>
      </w:r>
      <w:r w:rsidR="005F75FC" w:rsidRPr="24F8E339">
        <w:rPr>
          <w:rFonts w:asciiTheme="minorHAnsi" w:hAnsiTheme="minorHAnsi" w:cstheme="minorBidi"/>
        </w:rPr>
        <w:t xml:space="preserve">clinical </w:t>
      </w:r>
      <w:proofErr w:type="spellStart"/>
      <w:proofErr w:type="gramStart"/>
      <w:r w:rsidR="005F75FC" w:rsidRPr="24F8E339">
        <w:rPr>
          <w:rFonts w:asciiTheme="minorHAnsi" w:hAnsiTheme="minorHAnsi" w:cstheme="minorBidi"/>
        </w:rPr>
        <w:t>experts</w:t>
      </w:r>
      <w:r w:rsidR="3999077D" w:rsidRPr="24F8E339">
        <w:rPr>
          <w:rFonts w:asciiTheme="minorHAnsi" w:hAnsiTheme="minorHAnsi" w:cstheme="minorBidi"/>
        </w:rPr>
        <w:t>,</w:t>
      </w:r>
      <w:r w:rsidR="00FA2982" w:rsidRPr="24F8E339">
        <w:rPr>
          <w:rFonts w:asciiTheme="minorHAnsi" w:hAnsiTheme="minorHAnsi" w:cstheme="minorBidi"/>
        </w:rPr>
        <w:t>the</w:t>
      </w:r>
      <w:proofErr w:type="spellEnd"/>
      <w:proofErr w:type="gramEnd"/>
      <w:r w:rsidR="00FA2982" w:rsidRPr="24F8E339">
        <w:rPr>
          <w:rFonts w:asciiTheme="minorHAnsi" w:hAnsiTheme="minorHAnsi" w:cstheme="minorBidi"/>
        </w:rPr>
        <w:t xml:space="preserve"> DAD</w:t>
      </w:r>
      <w:r w:rsidR="209360EB" w:rsidRPr="24F8E339">
        <w:rPr>
          <w:rFonts w:asciiTheme="minorHAnsi" w:hAnsiTheme="minorHAnsi" w:cstheme="minorBidi"/>
        </w:rPr>
        <w:t xml:space="preserve"> f</w:t>
      </w:r>
      <w:r w:rsidR="0C78E8C7" w:rsidRPr="24F8E339">
        <w:rPr>
          <w:rFonts w:asciiTheme="minorHAnsi" w:hAnsiTheme="minorHAnsi" w:cstheme="minorBidi"/>
        </w:rPr>
        <w:t>rom NDC and any company comments submitted after the NDC</w:t>
      </w:r>
      <w:r w:rsidR="00A06121" w:rsidRPr="24F8E339">
        <w:rPr>
          <w:rFonts w:asciiTheme="minorHAnsi" w:hAnsiTheme="minorHAnsi" w:cstheme="minorBidi"/>
        </w:rPr>
        <w:t>. A member presents the key points, including those from the economic evaluation, and discussion on these and wider issues that that go beyond the scientific arguments is facilitated. SMC then considers its recommendation.</w:t>
      </w:r>
    </w:p>
    <w:p w14:paraId="65895838" w14:textId="77777777" w:rsidR="00A06121" w:rsidRPr="00093DBE" w:rsidRDefault="00A06121" w:rsidP="24F8E339">
      <w:pPr>
        <w:jc w:val="both"/>
        <w:rPr>
          <w:rFonts w:asciiTheme="minorHAnsi" w:hAnsiTheme="minorHAnsi" w:cstheme="minorBidi"/>
        </w:rPr>
      </w:pPr>
    </w:p>
    <w:p w14:paraId="65895839" w14:textId="77777777" w:rsidR="00A06121" w:rsidRPr="00093DBE" w:rsidRDefault="00A06121" w:rsidP="24F8E339">
      <w:pPr>
        <w:pStyle w:val="BodyText"/>
        <w:jc w:val="both"/>
        <w:rPr>
          <w:rFonts w:asciiTheme="minorHAnsi" w:hAnsiTheme="minorHAnsi" w:cstheme="minorBidi"/>
        </w:rPr>
      </w:pPr>
      <w:r w:rsidRPr="24F8E339">
        <w:rPr>
          <w:rFonts w:asciiTheme="minorHAnsi" w:hAnsiTheme="minorHAnsi" w:cstheme="minorBidi"/>
        </w:rPr>
        <w:t>What feedback can I expect and is there a chance for further dialogue with the economic reviewer</w:t>
      </w:r>
      <w:r w:rsidR="00CA70AD" w:rsidRPr="24F8E339">
        <w:rPr>
          <w:rFonts w:asciiTheme="minorHAnsi" w:hAnsiTheme="minorHAnsi" w:cstheme="minorBidi"/>
        </w:rPr>
        <w:t xml:space="preserve"> during the review process</w:t>
      </w:r>
      <w:r w:rsidRPr="24F8E339">
        <w:rPr>
          <w:rFonts w:asciiTheme="minorHAnsi" w:hAnsiTheme="minorHAnsi" w:cstheme="minorBidi"/>
        </w:rPr>
        <w:t>?</w:t>
      </w:r>
    </w:p>
    <w:p w14:paraId="6589583A" w14:textId="77777777" w:rsidR="00A06121" w:rsidRPr="00093DBE" w:rsidRDefault="00A06121">
      <w:pPr>
        <w:pStyle w:val="BodyText"/>
        <w:jc w:val="both"/>
        <w:rPr>
          <w:rFonts w:asciiTheme="minorHAnsi" w:hAnsiTheme="minorHAnsi" w:cstheme="minorHAnsi"/>
        </w:rPr>
      </w:pPr>
    </w:p>
    <w:p w14:paraId="6589583B" w14:textId="3C41DA90" w:rsidR="00A06121" w:rsidRPr="00093DBE" w:rsidRDefault="00A06121" w:rsidP="24F8E339">
      <w:pPr>
        <w:jc w:val="both"/>
        <w:rPr>
          <w:rFonts w:asciiTheme="minorHAnsi" w:hAnsiTheme="minorHAnsi" w:cstheme="minorBidi"/>
        </w:rPr>
      </w:pPr>
      <w:r w:rsidRPr="00093DBE">
        <w:rPr>
          <w:rFonts w:asciiTheme="minorHAnsi" w:hAnsiTheme="minorHAnsi" w:cstheme="minorBidi"/>
        </w:rPr>
        <w:t xml:space="preserve">The SMC communicates the </w:t>
      </w:r>
      <w:r w:rsidR="000E12ED" w:rsidRPr="24F8E339">
        <w:rPr>
          <w:rFonts w:asciiTheme="minorHAnsi" w:hAnsiTheme="minorHAnsi" w:cstheme="minorBidi"/>
        </w:rPr>
        <w:t xml:space="preserve">outcomes of the </w:t>
      </w:r>
      <w:r w:rsidRPr="00093DBE">
        <w:rPr>
          <w:rFonts w:asciiTheme="minorHAnsi" w:hAnsiTheme="minorHAnsi" w:cstheme="minorBidi"/>
        </w:rPr>
        <w:t xml:space="preserve">NDC and SMC </w:t>
      </w:r>
      <w:r w:rsidR="000921F0" w:rsidRPr="24F8E339">
        <w:rPr>
          <w:rFonts w:asciiTheme="minorHAnsi" w:hAnsiTheme="minorHAnsi" w:cstheme="minorBidi"/>
        </w:rPr>
        <w:t>meetings shortly after they have taken place</w:t>
      </w:r>
      <w:r w:rsidRPr="00093DBE">
        <w:rPr>
          <w:rFonts w:asciiTheme="minorHAnsi" w:hAnsiTheme="minorHAnsi" w:cstheme="minorBidi"/>
        </w:rPr>
        <w:t xml:space="preserve">. </w:t>
      </w:r>
      <w:r w:rsidR="00F808C2" w:rsidRPr="24F8E339">
        <w:rPr>
          <w:rFonts w:asciiTheme="minorHAnsi" w:hAnsiTheme="minorHAnsi" w:cstheme="minorBidi"/>
        </w:rPr>
        <w:t>After the NDC meeting,</w:t>
      </w:r>
      <w:r w:rsidR="001F0F73" w:rsidRPr="24F8E339">
        <w:rPr>
          <w:rFonts w:asciiTheme="minorHAnsi" w:hAnsiTheme="minorHAnsi" w:cstheme="minorBidi"/>
        </w:rPr>
        <w:t xml:space="preserve"> the </w:t>
      </w:r>
      <w:r w:rsidR="00FB2806" w:rsidRPr="24F8E339">
        <w:rPr>
          <w:rFonts w:asciiTheme="minorHAnsi" w:hAnsiTheme="minorHAnsi" w:cstheme="minorBidi"/>
        </w:rPr>
        <w:t>submitting c</w:t>
      </w:r>
      <w:r w:rsidR="001F0F73" w:rsidRPr="24F8E339">
        <w:rPr>
          <w:rFonts w:asciiTheme="minorHAnsi" w:hAnsiTheme="minorHAnsi" w:cstheme="minorBidi"/>
        </w:rPr>
        <w:t xml:space="preserve">ompany will have the opportunity to review and comment on the DAD. Where relevant </w:t>
      </w:r>
      <w:r w:rsidR="009F0270" w:rsidRPr="24F8E339">
        <w:rPr>
          <w:rFonts w:asciiTheme="minorHAnsi" w:hAnsiTheme="minorHAnsi" w:cstheme="minorBidi"/>
        </w:rPr>
        <w:t xml:space="preserve">these </w:t>
      </w:r>
      <w:r w:rsidRPr="24F8E339">
        <w:rPr>
          <w:rFonts w:asciiTheme="minorHAnsi" w:hAnsiTheme="minorHAnsi" w:cstheme="minorBidi"/>
        </w:rPr>
        <w:t>written comments will be taken into account at the SMC meeting.</w:t>
      </w:r>
    </w:p>
    <w:p w14:paraId="6589583C" w14:textId="77777777" w:rsidR="00A06121" w:rsidRPr="00093DBE" w:rsidRDefault="00A06121">
      <w:pPr>
        <w:jc w:val="both"/>
        <w:rPr>
          <w:rFonts w:asciiTheme="minorHAnsi" w:hAnsiTheme="minorHAnsi" w:cstheme="minorHAnsi"/>
        </w:rPr>
      </w:pPr>
    </w:p>
    <w:p w14:paraId="6589583D" w14:textId="092B7F55" w:rsidR="00A06121" w:rsidRPr="00093DBE" w:rsidRDefault="00A06121" w:rsidP="24F8E339">
      <w:pPr>
        <w:jc w:val="both"/>
        <w:rPr>
          <w:rFonts w:asciiTheme="minorHAnsi" w:hAnsiTheme="minorHAnsi" w:cstheme="minorBidi"/>
        </w:rPr>
      </w:pPr>
      <w:r w:rsidRPr="00093DBE">
        <w:rPr>
          <w:rFonts w:asciiTheme="minorHAnsi" w:hAnsiTheme="minorHAnsi" w:cstheme="minorBidi"/>
        </w:rPr>
        <w:t xml:space="preserve">There is no </w:t>
      </w:r>
      <w:r w:rsidR="008214D8" w:rsidRPr="24F8E339">
        <w:rPr>
          <w:rFonts w:asciiTheme="minorHAnsi" w:hAnsiTheme="minorHAnsi" w:cstheme="minorBidi"/>
        </w:rPr>
        <w:t>direct</w:t>
      </w:r>
      <w:r w:rsidRPr="24F8E339">
        <w:rPr>
          <w:rFonts w:asciiTheme="minorHAnsi" w:hAnsiTheme="minorHAnsi" w:cstheme="minorBidi"/>
        </w:rPr>
        <w:t xml:space="preserve"> contact between </w:t>
      </w:r>
      <w:r w:rsidR="00047917" w:rsidRPr="24F8E339">
        <w:rPr>
          <w:rFonts w:asciiTheme="minorHAnsi" w:hAnsiTheme="minorHAnsi" w:cstheme="minorBidi"/>
        </w:rPr>
        <w:t xml:space="preserve">submitting companies </w:t>
      </w:r>
      <w:r w:rsidRPr="00093DBE">
        <w:rPr>
          <w:rFonts w:asciiTheme="minorHAnsi" w:hAnsiTheme="minorHAnsi" w:cstheme="minorBidi"/>
        </w:rPr>
        <w:t xml:space="preserve">and </w:t>
      </w:r>
      <w:r w:rsidR="00047917" w:rsidRPr="24F8E339">
        <w:rPr>
          <w:rFonts w:asciiTheme="minorHAnsi" w:hAnsiTheme="minorHAnsi" w:cstheme="minorBidi"/>
        </w:rPr>
        <w:t xml:space="preserve">Assessment Team members </w:t>
      </w:r>
      <w:r w:rsidRPr="24F8E339">
        <w:rPr>
          <w:rFonts w:asciiTheme="minorHAnsi" w:hAnsiTheme="minorHAnsi" w:cstheme="minorBidi"/>
        </w:rPr>
        <w:t xml:space="preserve">within the process. However, </w:t>
      </w:r>
      <w:r w:rsidR="00047917" w:rsidRPr="24F8E339">
        <w:rPr>
          <w:rFonts w:asciiTheme="minorHAnsi" w:hAnsiTheme="minorHAnsi" w:cstheme="minorBidi"/>
        </w:rPr>
        <w:t xml:space="preserve">Assessment Team members </w:t>
      </w:r>
      <w:r w:rsidRPr="24F8E339">
        <w:rPr>
          <w:rFonts w:asciiTheme="minorHAnsi" w:hAnsiTheme="minorHAnsi" w:cstheme="minorBidi"/>
        </w:rPr>
        <w:t xml:space="preserve">have the opportunity to contact </w:t>
      </w:r>
      <w:r w:rsidR="0005266C" w:rsidRPr="24F8E339">
        <w:rPr>
          <w:rFonts w:asciiTheme="minorHAnsi" w:hAnsiTheme="minorHAnsi" w:cstheme="minorBidi"/>
        </w:rPr>
        <w:t>submitting companies</w:t>
      </w:r>
      <w:r w:rsidRPr="24F8E339">
        <w:rPr>
          <w:rFonts w:asciiTheme="minorHAnsi" w:hAnsiTheme="minorHAnsi" w:cstheme="minorBidi"/>
        </w:rPr>
        <w:t xml:space="preserve"> for further information or clarification: experience to date has shown the value in this contact. This mainly takes place prior to the NDC meeting and is </w:t>
      </w:r>
      <w:r w:rsidR="4E7A996D" w:rsidRPr="24F8E339">
        <w:rPr>
          <w:rFonts w:asciiTheme="minorHAnsi" w:hAnsiTheme="minorHAnsi" w:cstheme="minorBidi"/>
        </w:rPr>
        <w:t>facilitated</w:t>
      </w:r>
      <w:r w:rsidRPr="24F8E339">
        <w:rPr>
          <w:rFonts w:asciiTheme="minorHAnsi" w:hAnsiTheme="minorHAnsi" w:cstheme="minorBidi"/>
        </w:rPr>
        <w:t xml:space="preserve"> via the </w:t>
      </w:r>
      <w:r w:rsidR="20A59BE5" w:rsidRPr="24F8E339">
        <w:rPr>
          <w:rFonts w:asciiTheme="minorHAnsi" w:hAnsiTheme="minorHAnsi" w:cstheme="minorBidi"/>
        </w:rPr>
        <w:t xml:space="preserve">SMC </w:t>
      </w:r>
      <w:r w:rsidR="00410A52" w:rsidRPr="24F8E339">
        <w:rPr>
          <w:rFonts w:asciiTheme="minorHAnsi" w:hAnsiTheme="minorHAnsi" w:cstheme="minorBidi"/>
        </w:rPr>
        <w:t>S</w:t>
      </w:r>
      <w:r w:rsidRPr="00093DBE">
        <w:rPr>
          <w:rFonts w:asciiTheme="minorHAnsi" w:hAnsiTheme="minorHAnsi" w:cstheme="minorBidi"/>
        </w:rPr>
        <w:t xml:space="preserve">ecretariat. </w:t>
      </w:r>
      <w:r w:rsidR="001C265C" w:rsidRPr="24F8E339">
        <w:rPr>
          <w:rFonts w:asciiTheme="minorHAnsi" w:hAnsiTheme="minorHAnsi" w:cstheme="minorBidi"/>
        </w:rPr>
        <w:t>Submitting companies</w:t>
      </w:r>
      <w:r w:rsidRPr="00093DBE">
        <w:rPr>
          <w:rFonts w:asciiTheme="minorHAnsi" w:hAnsiTheme="minorHAnsi" w:cstheme="minorBidi"/>
        </w:rPr>
        <w:t xml:space="preserve"> can contact </w:t>
      </w:r>
      <w:r w:rsidR="00161545" w:rsidRPr="24F8E339">
        <w:rPr>
          <w:rFonts w:asciiTheme="minorHAnsi" w:hAnsiTheme="minorHAnsi" w:cstheme="minorBidi"/>
        </w:rPr>
        <w:t>the Assessment Team</w:t>
      </w:r>
      <w:r w:rsidR="2F0B4E34" w:rsidRPr="24F8E339">
        <w:rPr>
          <w:rFonts w:asciiTheme="minorHAnsi" w:hAnsiTheme="minorHAnsi" w:cstheme="minorBidi"/>
        </w:rPr>
        <w:t xml:space="preserve"> if required (for example to highlight any significant errors or omissions that have come to light</w:t>
      </w:r>
      <w:proofErr w:type="gramStart"/>
      <w:r w:rsidR="2F0B4E34" w:rsidRPr="24F8E339">
        <w:rPr>
          <w:rFonts w:asciiTheme="minorHAnsi" w:hAnsiTheme="minorHAnsi" w:cstheme="minorBidi"/>
        </w:rPr>
        <w:t>)</w:t>
      </w:r>
      <w:proofErr w:type="gramEnd"/>
      <w:r w:rsidRPr="24F8E339">
        <w:rPr>
          <w:rFonts w:asciiTheme="minorHAnsi" w:hAnsiTheme="minorHAnsi" w:cstheme="minorBidi"/>
        </w:rPr>
        <w:t xml:space="preserve"> but this should be via the Secretariat as well and should preferably be </w:t>
      </w:r>
      <w:r w:rsidR="43834290" w:rsidRPr="24F8E339">
        <w:rPr>
          <w:rFonts w:asciiTheme="minorHAnsi" w:hAnsiTheme="minorHAnsi" w:cstheme="minorBidi"/>
        </w:rPr>
        <w:t>via</w:t>
      </w:r>
      <w:r w:rsidRPr="24F8E339">
        <w:rPr>
          <w:rFonts w:asciiTheme="minorHAnsi" w:hAnsiTheme="minorHAnsi" w:cstheme="minorBidi"/>
        </w:rPr>
        <w:t xml:space="preserve"> e-mail so that there is a permanent record for future reference.</w:t>
      </w:r>
    </w:p>
    <w:p w14:paraId="6589583E" w14:textId="77777777" w:rsidR="00A06121" w:rsidRPr="00093DBE" w:rsidRDefault="00A06121">
      <w:pPr>
        <w:jc w:val="both"/>
        <w:rPr>
          <w:rFonts w:asciiTheme="minorHAnsi" w:hAnsiTheme="minorHAnsi" w:cstheme="minorHAnsi"/>
        </w:rPr>
      </w:pPr>
    </w:p>
    <w:p w14:paraId="6589583F" w14:textId="74F934D6" w:rsidR="00A06121" w:rsidRPr="00093DBE" w:rsidRDefault="00A06121" w:rsidP="24F8E339">
      <w:pPr>
        <w:jc w:val="both"/>
        <w:rPr>
          <w:rFonts w:asciiTheme="minorHAnsi" w:hAnsiTheme="minorHAnsi" w:cstheme="minorBidi"/>
        </w:rPr>
      </w:pPr>
      <w:r w:rsidRPr="00093DBE">
        <w:rPr>
          <w:rFonts w:asciiTheme="minorHAnsi" w:hAnsiTheme="minorHAnsi" w:cstheme="minorBidi"/>
        </w:rPr>
        <w:t xml:space="preserve">Economic </w:t>
      </w:r>
      <w:r w:rsidR="001C265C" w:rsidRPr="24F8E339">
        <w:rPr>
          <w:rFonts w:asciiTheme="minorHAnsi" w:hAnsiTheme="minorHAnsi" w:cstheme="minorBidi"/>
        </w:rPr>
        <w:t xml:space="preserve">Assessors </w:t>
      </w:r>
      <w:r w:rsidRPr="24F8E339">
        <w:rPr>
          <w:rFonts w:asciiTheme="minorHAnsi" w:hAnsiTheme="minorHAnsi" w:cstheme="minorBidi"/>
        </w:rPr>
        <w:t xml:space="preserve">may discuss points about the economic guidance with </w:t>
      </w:r>
      <w:r w:rsidR="008A6BAD" w:rsidRPr="24F8E339">
        <w:rPr>
          <w:rFonts w:asciiTheme="minorHAnsi" w:hAnsiTheme="minorHAnsi" w:cstheme="minorBidi"/>
        </w:rPr>
        <w:t xml:space="preserve">submitting companies </w:t>
      </w:r>
      <w:r w:rsidRPr="24F8E339">
        <w:rPr>
          <w:rFonts w:asciiTheme="minorHAnsi" w:hAnsiTheme="minorHAnsi" w:cstheme="minorBidi"/>
        </w:rPr>
        <w:t>but they will not become involved in discussions about a particular submission prior to its submission.</w:t>
      </w:r>
    </w:p>
    <w:p w14:paraId="65895840" w14:textId="77777777" w:rsidR="00CA70AD" w:rsidRPr="00093DBE" w:rsidRDefault="00CA70AD" w:rsidP="24F8E339">
      <w:pPr>
        <w:jc w:val="both"/>
        <w:rPr>
          <w:rFonts w:asciiTheme="minorHAnsi" w:hAnsiTheme="minorHAnsi" w:cstheme="minorBidi"/>
        </w:rPr>
      </w:pPr>
    </w:p>
    <w:p w14:paraId="65895841" w14:textId="48C7945C" w:rsidR="00CA70AD" w:rsidRPr="00093DBE" w:rsidRDefault="00CA70AD" w:rsidP="24F8E339">
      <w:pPr>
        <w:jc w:val="both"/>
        <w:rPr>
          <w:rFonts w:asciiTheme="minorHAnsi" w:hAnsiTheme="minorHAnsi" w:cstheme="minorBidi"/>
        </w:rPr>
      </w:pPr>
      <w:r w:rsidRPr="24F8E339">
        <w:rPr>
          <w:rFonts w:asciiTheme="minorHAnsi" w:hAnsiTheme="minorHAnsi" w:cstheme="minorBidi"/>
        </w:rPr>
        <w:t xml:space="preserve">When the final recommendation on the product is communicated to the </w:t>
      </w:r>
      <w:r w:rsidR="008A6BAD" w:rsidRPr="24F8E339">
        <w:rPr>
          <w:rFonts w:asciiTheme="minorHAnsi" w:hAnsiTheme="minorHAnsi" w:cstheme="minorBidi"/>
        </w:rPr>
        <w:t>submitting company</w:t>
      </w:r>
      <w:r w:rsidRPr="24F8E339">
        <w:rPr>
          <w:rFonts w:asciiTheme="minorHAnsi" w:hAnsiTheme="minorHAnsi" w:cstheme="minorBidi"/>
        </w:rPr>
        <w:t xml:space="preserve">, the </w:t>
      </w:r>
      <w:r w:rsidR="001C2FE0" w:rsidRPr="24F8E339">
        <w:rPr>
          <w:rFonts w:asciiTheme="minorHAnsi" w:hAnsiTheme="minorHAnsi" w:cstheme="minorBidi"/>
        </w:rPr>
        <w:t>DAD</w:t>
      </w:r>
      <w:r w:rsidR="00CA2C59" w:rsidRPr="24F8E339">
        <w:rPr>
          <w:rFonts w:asciiTheme="minorHAnsi" w:hAnsiTheme="minorHAnsi" w:cstheme="minorBidi"/>
        </w:rPr>
        <w:t xml:space="preserve"> will be automatically provided</w:t>
      </w:r>
      <w:r w:rsidRPr="24F8E339">
        <w:rPr>
          <w:rFonts w:asciiTheme="minorHAnsi" w:hAnsiTheme="minorHAnsi" w:cstheme="minorBidi"/>
        </w:rPr>
        <w:t>. Th</w:t>
      </w:r>
      <w:r w:rsidR="00CA2C59" w:rsidRPr="24F8E339">
        <w:rPr>
          <w:rFonts w:asciiTheme="minorHAnsi" w:hAnsiTheme="minorHAnsi" w:cstheme="minorBidi"/>
        </w:rPr>
        <w:t>e economic checklist</w:t>
      </w:r>
      <w:r w:rsidR="008F0364" w:rsidRPr="24F8E339">
        <w:rPr>
          <w:rFonts w:asciiTheme="minorHAnsi" w:hAnsiTheme="minorHAnsi" w:cstheme="minorBidi"/>
        </w:rPr>
        <w:t xml:space="preserve">, providing more detail </w:t>
      </w:r>
      <w:r w:rsidR="00C308CD" w:rsidRPr="24F8E339">
        <w:rPr>
          <w:rFonts w:asciiTheme="minorHAnsi" w:hAnsiTheme="minorHAnsi" w:cstheme="minorBidi"/>
        </w:rPr>
        <w:t xml:space="preserve">on the </w:t>
      </w:r>
      <w:r w:rsidRPr="24F8E339">
        <w:rPr>
          <w:rFonts w:asciiTheme="minorHAnsi" w:hAnsiTheme="minorHAnsi" w:cstheme="minorBidi"/>
        </w:rPr>
        <w:t xml:space="preserve">critical appraisal that was carried out on the product up to and including the date of the NDC meeting </w:t>
      </w:r>
      <w:r w:rsidR="00760601" w:rsidRPr="24F8E339">
        <w:rPr>
          <w:rFonts w:asciiTheme="minorHAnsi" w:hAnsiTheme="minorHAnsi" w:cstheme="minorBidi"/>
        </w:rPr>
        <w:t>can be provided upon request</w:t>
      </w:r>
      <w:r w:rsidRPr="24F8E339">
        <w:rPr>
          <w:rFonts w:asciiTheme="minorHAnsi" w:hAnsiTheme="minorHAnsi" w:cstheme="minorBidi"/>
        </w:rPr>
        <w:t>.</w:t>
      </w:r>
    </w:p>
    <w:p w14:paraId="65895842" w14:textId="77777777" w:rsidR="00CA70AD" w:rsidRPr="00093DBE" w:rsidRDefault="00CA70AD" w:rsidP="24F8E339">
      <w:pPr>
        <w:jc w:val="both"/>
        <w:rPr>
          <w:rFonts w:asciiTheme="minorHAnsi" w:hAnsiTheme="minorHAnsi" w:cstheme="minorBidi"/>
        </w:rPr>
      </w:pPr>
    </w:p>
    <w:p w14:paraId="65895843" w14:textId="34864B3B" w:rsidR="00CA70AD" w:rsidRPr="00093DBE" w:rsidRDefault="00CA70AD" w:rsidP="24F8E339">
      <w:pPr>
        <w:jc w:val="both"/>
        <w:rPr>
          <w:rFonts w:asciiTheme="minorHAnsi" w:hAnsiTheme="minorHAnsi" w:cstheme="minorBidi"/>
          <w:b/>
          <w:bCs/>
          <w:i/>
          <w:iCs/>
        </w:rPr>
      </w:pPr>
      <w:r w:rsidRPr="24F8E339">
        <w:rPr>
          <w:rFonts w:asciiTheme="minorHAnsi" w:hAnsiTheme="minorHAnsi" w:cstheme="minorBidi"/>
          <w:b/>
          <w:bCs/>
          <w:i/>
          <w:iCs/>
        </w:rPr>
        <w:t>If a not recommended decision is made</w:t>
      </w:r>
      <w:r w:rsidR="00DD195B" w:rsidRPr="24F8E339">
        <w:rPr>
          <w:rFonts w:asciiTheme="minorHAnsi" w:hAnsiTheme="minorHAnsi" w:cstheme="minorBidi"/>
          <w:b/>
          <w:bCs/>
          <w:i/>
          <w:iCs/>
        </w:rPr>
        <w:t xml:space="preserve"> by the SMC committee</w:t>
      </w:r>
      <w:r w:rsidRPr="24F8E339">
        <w:rPr>
          <w:rFonts w:asciiTheme="minorHAnsi" w:hAnsiTheme="minorHAnsi" w:cstheme="minorBidi"/>
          <w:b/>
          <w:bCs/>
          <w:i/>
          <w:iCs/>
        </w:rPr>
        <w:t>, is there an opportunity to discuss the decision and any resubmission with SMC?</w:t>
      </w:r>
    </w:p>
    <w:p w14:paraId="65895844" w14:textId="77777777" w:rsidR="00CA70AD" w:rsidRPr="00093DBE" w:rsidRDefault="00CA70AD" w:rsidP="24F8E339">
      <w:pPr>
        <w:jc w:val="both"/>
        <w:rPr>
          <w:rFonts w:asciiTheme="minorHAnsi" w:hAnsiTheme="minorHAnsi" w:cstheme="minorBidi"/>
        </w:rPr>
      </w:pPr>
    </w:p>
    <w:p w14:paraId="65895845" w14:textId="3A67D0E3" w:rsidR="00CA70AD" w:rsidRPr="00093DBE" w:rsidRDefault="00CA70AD" w:rsidP="24F8E339">
      <w:pPr>
        <w:jc w:val="both"/>
        <w:rPr>
          <w:rFonts w:asciiTheme="minorHAnsi" w:hAnsiTheme="minorHAnsi" w:cstheme="minorBidi"/>
        </w:rPr>
      </w:pPr>
      <w:r w:rsidRPr="24F8E339">
        <w:rPr>
          <w:rFonts w:asciiTheme="minorHAnsi" w:hAnsiTheme="minorHAnsi" w:cstheme="minorBidi"/>
        </w:rPr>
        <w:t xml:space="preserve">Yes. If a not recommended decision is issued, the </w:t>
      </w:r>
      <w:r w:rsidR="008A6BAD" w:rsidRPr="24F8E339">
        <w:rPr>
          <w:rFonts w:asciiTheme="minorHAnsi" w:hAnsiTheme="minorHAnsi" w:cstheme="minorBidi"/>
        </w:rPr>
        <w:t>submitting company</w:t>
      </w:r>
      <w:r w:rsidRPr="24F8E339">
        <w:rPr>
          <w:rFonts w:asciiTheme="minorHAnsi" w:hAnsiTheme="minorHAnsi" w:cstheme="minorBidi"/>
        </w:rPr>
        <w:t xml:space="preserve"> can get in touch with the SMC </w:t>
      </w:r>
      <w:r w:rsidR="00653A6B" w:rsidRPr="24F8E339">
        <w:rPr>
          <w:rFonts w:asciiTheme="minorHAnsi" w:hAnsiTheme="minorHAnsi" w:cstheme="minorBidi"/>
        </w:rPr>
        <w:t>S</w:t>
      </w:r>
      <w:r w:rsidRPr="24F8E339">
        <w:rPr>
          <w:rFonts w:asciiTheme="minorHAnsi" w:hAnsiTheme="minorHAnsi" w:cstheme="minorBidi"/>
        </w:rPr>
        <w:t xml:space="preserve">ecretariat to request a meeting. </w:t>
      </w:r>
      <w:r w:rsidR="001C2FE0" w:rsidRPr="24F8E339">
        <w:rPr>
          <w:rFonts w:asciiTheme="minorHAnsi" w:hAnsiTheme="minorHAnsi" w:cstheme="minorBidi"/>
        </w:rPr>
        <w:t xml:space="preserve">The purpose of such meetings is to give the </w:t>
      </w:r>
      <w:r w:rsidR="00A24052" w:rsidRPr="24F8E339">
        <w:rPr>
          <w:rFonts w:asciiTheme="minorHAnsi" w:hAnsiTheme="minorHAnsi" w:cstheme="minorBidi"/>
        </w:rPr>
        <w:t>submitting company</w:t>
      </w:r>
      <w:r w:rsidR="001C2FE0" w:rsidRPr="24F8E339">
        <w:rPr>
          <w:rFonts w:asciiTheme="minorHAnsi" w:hAnsiTheme="minorHAnsi" w:cstheme="minorBidi"/>
        </w:rPr>
        <w:t xml:space="preserve"> general guidance on the principal issues that would need to be addressed in any resubmission. SMC company meetings are attended by a member of the SMC Executive Team and a member of the SMC </w:t>
      </w:r>
      <w:r w:rsidR="00CD045D" w:rsidRPr="24F8E339">
        <w:rPr>
          <w:rFonts w:asciiTheme="minorHAnsi" w:hAnsiTheme="minorHAnsi" w:cstheme="minorBidi"/>
        </w:rPr>
        <w:t>S</w:t>
      </w:r>
      <w:r w:rsidR="001C2FE0" w:rsidRPr="24F8E339">
        <w:rPr>
          <w:rFonts w:asciiTheme="minorHAnsi" w:hAnsiTheme="minorHAnsi" w:cstheme="minorBidi"/>
        </w:rPr>
        <w:t xml:space="preserve">ecretariat but it should be noted that the </w:t>
      </w:r>
      <w:r w:rsidR="0070280D" w:rsidRPr="24F8E339">
        <w:rPr>
          <w:rFonts w:asciiTheme="minorHAnsi" w:hAnsiTheme="minorHAnsi" w:cstheme="minorBidi"/>
        </w:rPr>
        <w:t>Assessment Team</w:t>
      </w:r>
      <w:r w:rsidR="001C2FE0" w:rsidRPr="24F8E339">
        <w:rPr>
          <w:rFonts w:asciiTheme="minorHAnsi" w:hAnsiTheme="minorHAnsi" w:cstheme="minorBidi"/>
        </w:rPr>
        <w:t xml:space="preserve"> who worked on the original submission are not present at the meeting.</w:t>
      </w:r>
    </w:p>
    <w:p w14:paraId="65895846" w14:textId="77777777" w:rsidR="001C2FE0" w:rsidRPr="00093DBE" w:rsidRDefault="001C2FE0" w:rsidP="24F8E339">
      <w:pPr>
        <w:jc w:val="both"/>
        <w:rPr>
          <w:rFonts w:asciiTheme="minorHAnsi" w:hAnsiTheme="minorHAnsi" w:cstheme="minorBidi"/>
        </w:rPr>
      </w:pPr>
    </w:p>
    <w:p w14:paraId="58E8D01C" w14:textId="77777777" w:rsidR="00B36D09" w:rsidRDefault="00B36D09">
      <w:pPr>
        <w:rPr>
          <w:rFonts w:asciiTheme="minorHAnsi" w:hAnsiTheme="minorHAnsi" w:cstheme="minorBidi"/>
          <w:b/>
          <w:bCs/>
          <w:i/>
          <w:iCs/>
          <w:color w:val="auto"/>
          <w:lang w:val="en-US"/>
        </w:rPr>
      </w:pPr>
      <w:r>
        <w:rPr>
          <w:rFonts w:asciiTheme="minorHAnsi" w:hAnsiTheme="minorHAnsi" w:cstheme="minorBidi"/>
          <w:b/>
          <w:bCs/>
          <w:i/>
          <w:iCs/>
          <w:color w:val="auto"/>
          <w:lang w:val="en-US"/>
        </w:rPr>
        <w:br w:type="page"/>
      </w:r>
    </w:p>
    <w:p w14:paraId="6589584D" w14:textId="4F430377" w:rsidR="00A06121" w:rsidRPr="00093DBE" w:rsidRDefault="00A06121" w:rsidP="24F8E339">
      <w:pPr>
        <w:autoSpaceDE w:val="0"/>
        <w:autoSpaceDN w:val="0"/>
        <w:adjustRightInd w:val="0"/>
        <w:jc w:val="both"/>
        <w:rPr>
          <w:rFonts w:asciiTheme="minorHAnsi" w:hAnsiTheme="minorHAnsi" w:cstheme="minorBidi"/>
          <w:b/>
          <w:bCs/>
          <w:i/>
          <w:iCs/>
          <w:color w:val="auto"/>
          <w:lang w:val="en-US"/>
        </w:rPr>
      </w:pPr>
      <w:r w:rsidRPr="24F8E339">
        <w:rPr>
          <w:rFonts w:asciiTheme="minorHAnsi" w:hAnsiTheme="minorHAnsi" w:cstheme="minorBidi"/>
          <w:b/>
          <w:bCs/>
          <w:i/>
          <w:iCs/>
          <w:color w:val="auto"/>
          <w:lang w:val="en-US"/>
        </w:rPr>
        <w:t>If there is one piece of advice SMC would offer in terms of the submitted economic evaluation</w:t>
      </w:r>
      <w:r w:rsidR="001C2FE0" w:rsidRPr="24F8E339">
        <w:rPr>
          <w:rFonts w:asciiTheme="minorHAnsi" w:hAnsiTheme="minorHAnsi" w:cstheme="minorBidi"/>
          <w:b/>
          <w:bCs/>
          <w:i/>
          <w:iCs/>
          <w:color w:val="auto"/>
          <w:lang w:val="en-US"/>
        </w:rPr>
        <w:t xml:space="preserve"> having a good chance of being </w:t>
      </w:r>
      <w:proofErr w:type="gramStart"/>
      <w:r w:rsidR="001C2FE0" w:rsidRPr="24F8E339">
        <w:rPr>
          <w:rFonts w:asciiTheme="minorHAnsi" w:hAnsiTheme="minorHAnsi" w:cstheme="minorBidi"/>
          <w:b/>
          <w:bCs/>
          <w:i/>
          <w:iCs/>
          <w:color w:val="auto"/>
          <w:lang w:val="en-US"/>
        </w:rPr>
        <w:t>accepted</w:t>
      </w:r>
      <w:proofErr w:type="gramEnd"/>
      <w:r w:rsidR="001C2FE0" w:rsidRPr="24F8E339">
        <w:rPr>
          <w:rFonts w:asciiTheme="minorHAnsi" w:hAnsiTheme="minorHAnsi" w:cstheme="minorBidi"/>
          <w:b/>
          <w:bCs/>
          <w:i/>
          <w:iCs/>
          <w:color w:val="auto"/>
          <w:lang w:val="en-US"/>
        </w:rPr>
        <w:t xml:space="preserve"> </w:t>
      </w:r>
      <w:r w:rsidRPr="24F8E339">
        <w:rPr>
          <w:rFonts w:asciiTheme="minorHAnsi" w:hAnsiTheme="minorHAnsi" w:cstheme="minorBidi"/>
          <w:b/>
          <w:bCs/>
          <w:i/>
          <w:iCs/>
          <w:color w:val="auto"/>
          <w:lang w:val="en-US"/>
        </w:rPr>
        <w:t>then what would it be?</w:t>
      </w:r>
    </w:p>
    <w:p w14:paraId="6589584E" w14:textId="77777777" w:rsidR="00A06121" w:rsidRPr="00093DBE" w:rsidRDefault="00A06121">
      <w:pPr>
        <w:autoSpaceDE w:val="0"/>
        <w:autoSpaceDN w:val="0"/>
        <w:adjustRightInd w:val="0"/>
        <w:jc w:val="both"/>
        <w:rPr>
          <w:rFonts w:asciiTheme="minorHAnsi" w:hAnsiTheme="minorHAnsi" w:cstheme="minorHAnsi"/>
          <w:color w:val="auto"/>
          <w:sz w:val="20"/>
          <w:lang w:val="en-US"/>
        </w:rPr>
      </w:pPr>
    </w:p>
    <w:p w14:paraId="6589584F" w14:textId="5CD34005" w:rsidR="00A06121" w:rsidRPr="00093DBE" w:rsidRDefault="00A06121" w:rsidP="24F8E339">
      <w:pPr>
        <w:autoSpaceDE w:val="0"/>
        <w:autoSpaceDN w:val="0"/>
        <w:adjustRightInd w:val="0"/>
        <w:jc w:val="both"/>
        <w:rPr>
          <w:rFonts w:asciiTheme="minorHAnsi" w:hAnsiTheme="minorHAnsi" w:cstheme="minorBidi"/>
          <w:color w:val="auto"/>
          <w:lang w:val="en-US"/>
        </w:rPr>
      </w:pPr>
      <w:r w:rsidRPr="24F8E339">
        <w:rPr>
          <w:rFonts w:asciiTheme="minorHAnsi" w:hAnsiTheme="minorHAnsi" w:cstheme="minorBidi"/>
          <w:color w:val="auto"/>
          <w:lang w:val="en-US"/>
        </w:rPr>
        <w:t xml:space="preserve">The economic evaluation needs a sound basic design, including a comparator that reflects SMC guidance, a benefit measure that reflects SMC guidance and data that are plausible in a Scottish context. If </w:t>
      </w:r>
      <w:r w:rsidR="007B02DA" w:rsidRPr="24F8E339">
        <w:rPr>
          <w:rFonts w:asciiTheme="minorHAnsi" w:hAnsiTheme="minorHAnsi" w:cstheme="minorBidi"/>
          <w:color w:val="auto"/>
          <w:lang w:val="en-US"/>
        </w:rPr>
        <w:t xml:space="preserve">the </w:t>
      </w:r>
      <w:r w:rsidR="00230824" w:rsidRPr="24F8E339">
        <w:rPr>
          <w:rFonts w:asciiTheme="minorHAnsi" w:hAnsiTheme="minorHAnsi" w:cstheme="minorBidi"/>
          <w:color w:val="auto"/>
          <w:lang w:val="en-US"/>
        </w:rPr>
        <w:t>submitting company</w:t>
      </w:r>
      <w:r w:rsidRPr="24F8E339">
        <w:rPr>
          <w:rFonts w:asciiTheme="minorHAnsi" w:hAnsiTheme="minorHAnsi" w:cstheme="minorBidi"/>
          <w:color w:val="auto"/>
          <w:lang w:val="en-US"/>
        </w:rPr>
        <w:t xml:space="preserve"> does not satisfy the SMC on these basic design </w:t>
      </w:r>
      <w:bookmarkStart w:id="2" w:name="_Int_CtCpyvS5"/>
      <w:r w:rsidRPr="24F8E339">
        <w:rPr>
          <w:rFonts w:asciiTheme="minorHAnsi" w:hAnsiTheme="minorHAnsi" w:cstheme="minorBidi"/>
          <w:color w:val="auto"/>
          <w:lang w:val="en-US"/>
        </w:rPr>
        <w:t>points</w:t>
      </w:r>
      <w:bookmarkEnd w:id="2"/>
      <w:r w:rsidRPr="24F8E339">
        <w:rPr>
          <w:rFonts w:asciiTheme="minorHAnsi" w:hAnsiTheme="minorHAnsi" w:cstheme="minorBidi"/>
          <w:color w:val="auto"/>
          <w:lang w:val="en-US"/>
        </w:rPr>
        <w:t xml:space="preserve"> then no amount of complex model</w:t>
      </w:r>
      <w:r w:rsidR="00636972" w:rsidRPr="24F8E339">
        <w:rPr>
          <w:rFonts w:asciiTheme="minorHAnsi" w:hAnsiTheme="minorHAnsi" w:cstheme="minorBidi"/>
          <w:color w:val="auto"/>
          <w:lang w:val="en-US"/>
        </w:rPr>
        <w:t>l</w:t>
      </w:r>
      <w:r w:rsidRPr="24F8E339">
        <w:rPr>
          <w:rFonts w:asciiTheme="minorHAnsi" w:hAnsiTheme="minorHAnsi" w:cstheme="minorBidi"/>
          <w:color w:val="auto"/>
          <w:lang w:val="en-US"/>
        </w:rPr>
        <w:t>ing or sophisticated sensitivity analysis will compensate.</w:t>
      </w:r>
      <w:r w:rsidR="001C2FE0" w:rsidRPr="24F8E339">
        <w:rPr>
          <w:rFonts w:asciiTheme="minorHAnsi" w:hAnsiTheme="minorHAnsi" w:cstheme="minorBidi"/>
          <w:color w:val="auto"/>
          <w:lang w:val="en-US"/>
        </w:rPr>
        <w:t xml:space="preserve"> </w:t>
      </w:r>
      <w:r w:rsidR="001B36DA" w:rsidRPr="24F8E339">
        <w:rPr>
          <w:rFonts w:asciiTheme="minorHAnsi" w:hAnsiTheme="minorHAnsi" w:cstheme="minorBidi"/>
          <w:color w:val="auto"/>
          <w:lang w:val="en-US"/>
        </w:rPr>
        <w:t>However</w:t>
      </w:r>
      <w:r w:rsidR="001C2FE0" w:rsidRPr="24F8E339">
        <w:rPr>
          <w:rFonts w:asciiTheme="minorHAnsi" w:hAnsiTheme="minorHAnsi" w:cstheme="minorBidi"/>
          <w:color w:val="auto"/>
          <w:lang w:val="en-US"/>
        </w:rPr>
        <w:t>, even if the economic case is</w:t>
      </w:r>
      <w:r w:rsidR="00F05AA4" w:rsidRPr="24F8E339">
        <w:rPr>
          <w:rFonts w:asciiTheme="minorHAnsi" w:hAnsiTheme="minorHAnsi" w:cstheme="minorBidi"/>
          <w:color w:val="auto"/>
          <w:lang w:val="en-US"/>
        </w:rPr>
        <w:t xml:space="preserve"> well-conducted and</w:t>
      </w:r>
      <w:r w:rsidR="001C2FE0" w:rsidRPr="24F8E339">
        <w:rPr>
          <w:rFonts w:asciiTheme="minorHAnsi" w:hAnsiTheme="minorHAnsi" w:cstheme="minorBidi"/>
          <w:color w:val="auto"/>
          <w:lang w:val="en-US"/>
        </w:rPr>
        <w:t xml:space="preserve"> robust, the economic evaluation needs to demonstrate that the product offers reasonable value for money to NHS Scotland</w:t>
      </w:r>
      <w:r w:rsidR="00F05AA4" w:rsidRPr="24F8E339">
        <w:rPr>
          <w:rFonts w:asciiTheme="minorHAnsi" w:hAnsiTheme="minorHAnsi" w:cstheme="minorBidi"/>
          <w:color w:val="auto"/>
          <w:lang w:val="en-US"/>
        </w:rPr>
        <w:t xml:space="preserve"> compared to other uses of scarce NHS resources</w:t>
      </w:r>
      <w:r w:rsidR="001C2FE0" w:rsidRPr="24F8E339">
        <w:rPr>
          <w:rFonts w:asciiTheme="minorHAnsi" w:hAnsiTheme="minorHAnsi" w:cstheme="minorBidi"/>
          <w:color w:val="auto"/>
          <w:lang w:val="en-US"/>
        </w:rPr>
        <w:t>.</w:t>
      </w:r>
    </w:p>
    <w:p w14:paraId="65895850" w14:textId="77777777" w:rsidR="00A06121" w:rsidRPr="00093DBE" w:rsidRDefault="00A06121">
      <w:pPr>
        <w:jc w:val="both"/>
        <w:rPr>
          <w:rFonts w:asciiTheme="minorHAnsi" w:hAnsiTheme="minorHAnsi" w:cstheme="minorHAnsi"/>
        </w:rPr>
      </w:pPr>
    </w:p>
    <w:p w14:paraId="65895851" w14:textId="77777777" w:rsidR="00A06121" w:rsidRPr="00093DBE" w:rsidRDefault="00A06121" w:rsidP="24F8E339">
      <w:pPr>
        <w:jc w:val="both"/>
        <w:rPr>
          <w:rFonts w:asciiTheme="minorHAnsi" w:hAnsiTheme="minorHAnsi" w:cstheme="minorBidi"/>
        </w:rPr>
      </w:pPr>
      <w:r w:rsidRPr="24F8E339">
        <w:rPr>
          <w:rFonts w:asciiTheme="minorHAnsi" w:hAnsiTheme="minorHAnsi" w:cstheme="minorBidi"/>
        </w:rPr>
        <w:t>If you have any comments on this document, want to suggest a further question, or want to discuss any point further, then please contact the Secretariat at SMC.</w:t>
      </w:r>
    </w:p>
    <w:sectPr w:rsidR="00A06121" w:rsidRPr="00093DBE" w:rsidSect="00093DBE">
      <w:footerReference w:type="default" r:id="rId11"/>
      <w:headerReference w:type="first" r:id="rId12"/>
      <w:footerReference w:type="first" r:id="rId13"/>
      <w:pgSz w:w="11906" w:h="16838"/>
      <w:pgMar w:top="-851" w:right="180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84E7" w14:textId="77777777" w:rsidR="002C4797" w:rsidRDefault="002C4797">
      <w:r>
        <w:separator/>
      </w:r>
    </w:p>
  </w:endnote>
  <w:endnote w:type="continuationSeparator" w:id="0">
    <w:p w14:paraId="37FCC131" w14:textId="77777777" w:rsidR="002C4797" w:rsidRDefault="002C4797">
      <w:r>
        <w:continuationSeparator/>
      </w:r>
    </w:p>
  </w:endnote>
  <w:endnote w:type="continuationNotice" w:id="1">
    <w:p w14:paraId="00DCADCE" w14:textId="77777777" w:rsidR="002C4797" w:rsidRDefault="002C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427233"/>
      <w:docPartObj>
        <w:docPartGallery w:val="Page Numbers (Bottom of Page)"/>
        <w:docPartUnique/>
      </w:docPartObj>
    </w:sdtPr>
    <w:sdtEndPr/>
    <w:sdtContent>
      <w:p w14:paraId="49C7C590" w14:textId="142704B5" w:rsidR="00093DBE" w:rsidRDefault="00093DBE">
        <w:pPr>
          <w:pStyle w:val="Footer"/>
          <w:jc w:val="right"/>
        </w:pPr>
        <w:r>
          <w:fldChar w:fldCharType="begin"/>
        </w:r>
        <w:r>
          <w:instrText>PAGE   \* MERGEFORMAT</w:instrText>
        </w:r>
        <w:r>
          <w:fldChar w:fldCharType="separate"/>
        </w:r>
        <w:r>
          <w:t>2</w:t>
        </w:r>
        <w:r>
          <w:fldChar w:fldCharType="end"/>
        </w:r>
      </w:p>
    </w:sdtContent>
  </w:sdt>
  <w:p w14:paraId="4BBA6BD6" w14:textId="77777777" w:rsidR="00093DBE" w:rsidRDefault="00093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61249"/>
      <w:docPartObj>
        <w:docPartGallery w:val="Page Numbers (Bottom of Page)"/>
        <w:docPartUnique/>
      </w:docPartObj>
    </w:sdtPr>
    <w:sdtEndPr/>
    <w:sdtContent>
      <w:p w14:paraId="4EE4A40B" w14:textId="17030434" w:rsidR="00093DBE" w:rsidRDefault="00093DBE">
        <w:pPr>
          <w:pStyle w:val="Footer"/>
          <w:jc w:val="right"/>
        </w:pPr>
        <w:r>
          <w:fldChar w:fldCharType="begin"/>
        </w:r>
        <w:r>
          <w:instrText>PAGE   \* MERGEFORMAT</w:instrText>
        </w:r>
        <w:r>
          <w:fldChar w:fldCharType="separate"/>
        </w:r>
        <w:r>
          <w:t>2</w:t>
        </w:r>
        <w:r>
          <w:fldChar w:fldCharType="end"/>
        </w:r>
      </w:p>
    </w:sdtContent>
  </w:sdt>
  <w:p w14:paraId="4E0DC9E8" w14:textId="4D548DBE" w:rsidR="1F3D0C63" w:rsidRDefault="1F3D0C63" w:rsidP="0009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EE4C" w14:textId="77777777" w:rsidR="002C4797" w:rsidRDefault="002C4797">
      <w:r>
        <w:separator/>
      </w:r>
    </w:p>
  </w:footnote>
  <w:footnote w:type="continuationSeparator" w:id="0">
    <w:p w14:paraId="7AD24733" w14:textId="77777777" w:rsidR="002C4797" w:rsidRDefault="002C4797">
      <w:r>
        <w:continuationSeparator/>
      </w:r>
    </w:p>
  </w:footnote>
  <w:footnote w:type="continuationNotice" w:id="1">
    <w:p w14:paraId="26042772" w14:textId="77777777" w:rsidR="002C4797" w:rsidRDefault="002C4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F653" w14:textId="77777777" w:rsidR="00016A26" w:rsidRDefault="00016A26" w:rsidP="00093DBE">
    <w:pPr>
      <w:pStyle w:val="Header"/>
      <w:ind w:left="-1800"/>
    </w:pPr>
    <w:r>
      <w:rPr>
        <w:noProof/>
      </w:rPr>
      <w:drawing>
        <wp:inline distT="0" distB="0" distL="0" distR="0" wp14:anchorId="1C2FD5DA" wp14:editId="722BBDDF">
          <wp:extent cx="7553325" cy="6082130"/>
          <wp:effectExtent l="0" t="0" r="0" b="0"/>
          <wp:docPr id="1303273122" name="Picture 1303273122" descr="A white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84482" name="Picture 999184482" descr="A white and grey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561216" cy="6088484"/>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22skiB8Z" int2:invalidationBookmarkName="" int2:hashCode="MCkgB9FQHH5L+s" int2:id="LMnd8AmI">
      <int2:state int2:value="Rejected" int2:type="AugLoop_Text_Critique"/>
    </int2:bookmark>
    <int2:bookmark int2:bookmarkName="_Int_IA7TLw3j" int2:invalidationBookmarkName="" int2:hashCode="EA7ERi3sNPaCT3" int2:id="zARIeJC8">
      <int2:state int2:value="Rejected" int2:type="AugLoop_Text_Critique"/>
    </int2:bookmark>
    <int2:bookmark int2:bookmarkName="_Int_CtCpyvS5" int2:invalidationBookmarkName="" int2:hashCode="gZ9B8Fg3nrURaP" int2:id="xw2Gpsx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EB6"/>
    <w:multiLevelType w:val="hybridMultilevel"/>
    <w:tmpl w:val="CA80139A"/>
    <w:lvl w:ilvl="0" w:tplc="2E06E4B0">
      <w:start w:val="1"/>
      <w:numFmt w:val="lowerRoman"/>
      <w:lvlText w:val="(%1)"/>
      <w:lvlJc w:val="left"/>
      <w:pPr>
        <w:tabs>
          <w:tab w:val="num" w:pos="1080"/>
        </w:tabs>
        <w:ind w:left="1080" w:hanging="720"/>
      </w:pPr>
      <w:rPr>
        <w:rFonts w:hint="default"/>
      </w:rPr>
    </w:lvl>
    <w:lvl w:ilvl="1" w:tplc="D15090E8" w:tentative="1">
      <w:start w:val="1"/>
      <w:numFmt w:val="lowerLetter"/>
      <w:lvlText w:val="%2."/>
      <w:lvlJc w:val="left"/>
      <w:pPr>
        <w:tabs>
          <w:tab w:val="num" w:pos="1440"/>
        </w:tabs>
        <w:ind w:left="1440" w:hanging="360"/>
      </w:pPr>
    </w:lvl>
    <w:lvl w:ilvl="2" w:tplc="8F0680D6" w:tentative="1">
      <w:start w:val="1"/>
      <w:numFmt w:val="lowerRoman"/>
      <w:lvlText w:val="%3."/>
      <w:lvlJc w:val="right"/>
      <w:pPr>
        <w:tabs>
          <w:tab w:val="num" w:pos="2160"/>
        </w:tabs>
        <w:ind w:left="2160" w:hanging="180"/>
      </w:pPr>
    </w:lvl>
    <w:lvl w:ilvl="3" w:tplc="2E864A82" w:tentative="1">
      <w:start w:val="1"/>
      <w:numFmt w:val="decimal"/>
      <w:lvlText w:val="%4."/>
      <w:lvlJc w:val="left"/>
      <w:pPr>
        <w:tabs>
          <w:tab w:val="num" w:pos="2880"/>
        </w:tabs>
        <w:ind w:left="2880" w:hanging="360"/>
      </w:pPr>
    </w:lvl>
    <w:lvl w:ilvl="4" w:tplc="D27219DC" w:tentative="1">
      <w:start w:val="1"/>
      <w:numFmt w:val="lowerLetter"/>
      <w:lvlText w:val="%5."/>
      <w:lvlJc w:val="left"/>
      <w:pPr>
        <w:tabs>
          <w:tab w:val="num" w:pos="3600"/>
        </w:tabs>
        <w:ind w:left="3600" w:hanging="360"/>
      </w:pPr>
    </w:lvl>
    <w:lvl w:ilvl="5" w:tplc="784EA8E6" w:tentative="1">
      <w:start w:val="1"/>
      <w:numFmt w:val="lowerRoman"/>
      <w:lvlText w:val="%6."/>
      <w:lvlJc w:val="right"/>
      <w:pPr>
        <w:tabs>
          <w:tab w:val="num" w:pos="4320"/>
        </w:tabs>
        <w:ind w:left="4320" w:hanging="180"/>
      </w:pPr>
    </w:lvl>
    <w:lvl w:ilvl="6" w:tplc="2850E172" w:tentative="1">
      <w:start w:val="1"/>
      <w:numFmt w:val="decimal"/>
      <w:lvlText w:val="%7."/>
      <w:lvlJc w:val="left"/>
      <w:pPr>
        <w:tabs>
          <w:tab w:val="num" w:pos="5040"/>
        </w:tabs>
        <w:ind w:left="5040" w:hanging="360"/>
      </w:pPr>
    </w:lvl>
    <w:lvl w:ilvl="7" w:tplc="4F0CE740" w:tentative="1">
      <w:start w:val="1"/>
      <w:numFmt w:val="lowerLetter"/>
      <w:lvlText w:val="%8."/>
      <w:lvlJc w:val="left"/>
      <w:pPr>
        <w:tabs>
          <w:tab w:val="num" w:pos="5760"/>
        </w:tabs>
        <w:ind w:left="5760" w:hanging="360"/>
      </w:pPr>
    </w:lvl>
    <w:lvl w:ilvl="8" w:tplc="44F03BFA" w:tentative="1">
      <w:start w:val="1"/>
      <w:numFmt w:val="lowerRoman"/>
      <w:lvlText w:val="%9."/>
      <w:lvlJc w:val="right"/>
      <w:pPr>
        <w:tabs>
          <w:tab w:val="num" w:pos="6480"/>
        </w:tabs>
        <w:ind w:left="6480" w:hanging="180"/>
      </w:pPr>
    </w:lvl>
  </w:abstractNum>
  <w:abstractNum w:abstractNumId="1" w15:restartNumberingAfterBreak="0">
    <w:nsid w:val="126010BE"/>
    <w:multiLevelType w:val="hybridMultilevel"/>
    <w:tmpl w:val="DDC2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809B0"/>
    <w:multiLevelType w:val="hybridMultilevel"/>
    <w:tmpl w:val="91A27FA4"/>
    <w:lvl w:ilvl="0" w:tplc="962CB668">
      <w:start w:val="1"/>
      <w:numFmt w:val="bullet"/>
      <w:lvlText w:val=""/>
      <w:lvlJc w:val="left"/>
      <w:pPr>
        <w:tabs>
          <w:tab w:val="num" w:pos="360"/>
        </w:tabs>
        <w:ind w:left="357" w:hanging="357"/>
      </w:pPr>
      <w:rPr>
        <w:rFonts w:ascii="Symbol" w:hAnsi="Symbol" w:hint="default"/>
      </w:rPr>
    </w:lvl>
    <w:lvl w:ilvl="1" w:tplc="23167CA8" w:tentative="1">
      <w:start w:val="1"/>
      <w:numFmt w:val="bullet"/>
      <w:lvlText w:val="o"/>
      <w:lvlJc w:val="left"/>
      <w:pPr>
        <w:tabs>
          <w:tab w:val="num" w:pos="1440"/>
        </w:tabs>
        <w:ind w:left="1440" w:hanging="360"/>
      </w:pPr>
      <w:rPr>
        <w:rFonts w:ascii="Courier New" w:hAnsi="Courier New" w:hint="default"/>
      </w:rPr>
    </w:lvl>
    <w:lvl w:ilvl="2" w:tplc="C3EA9E76" w:tentative="1">
      <w:start w:val="1"/>
      <w:numFmt w:val="bullet"/>
      <w:lvlText w:val=""/>
      <w:lvlJc w:val="left"/>
      <w:pPr>
        <w:tabs>
          <w:tab w:val="num" w:pos="2160"/>
        </w:tabs>
        <w:ind w:left="2160" w:hanging="360"/>
      </w:pPr>
      <w:rPr>
        <w:rFonts w:ascii="Wingdings" w:hAnsi="Wingdings" w:hint="default"/>
      </w:rPr>
    </w:lvl>
    <w:lvl w:ilvl="3" w:tplc="828826BA" w:tentative="1">
      <w:start w:val="1"/>
      <w:numFmt w:val="bullet"/>
      <w:lvlText w:val=""/>
      <w:lvlJc w:val="left"/>
      <w:pPr>
        <w:tabs>
          <w:tab w:val="num" w:pos="2880"/>
        </w:tabs>
        <w:ind w:left="2880" w:hanging="360"/>
      </w:pPr>
      <w:rPr>
        <w:rFonts w:ascii="Symbol" w:hAnsi="Symbol" w:hint="default"/>
      </w:rPr>
    </w:lvl>
    <w:lvl w:ilvl="4" w:tplc="16DAED12" w:tentative="1">
      <w:start w:val="1"/>
      <w:numFmt w:val="bullet"/>
      <w:lvlText w:val="o"/>
      <w:lvlJc w:val="left"/>
      <w:pPr>
        <w:tabs>
          <w:tab w:val="num" w:pos="3600"/>
        </w:tabs>
        <w:ind w:left="3600" w:hanging="360"/>
      </w:pPr>
      <w:rPr>
        <w:rFonts w:ascii="Courier New" w:hAnsi="Courier New" w:hint="default"/>
      </w:rPr>
    </w:lvl>
    <w:lvl w:ilvl="5" w:tplc="65F4C866" w:tentative="1">
      <w:start w:val="1"/>
      <w:numFmt w:val="bullet"/>
      <w:lvlText w:val=""/>
      <w:lvlJc w:val="left"/>
      <w:pPr>
        <w:tabs>
          <w:tab w:val="num" w:pos="4320"/>
        </w:tabs>
        <w:ind w:left="4320" w:hanging="360"/>
      </w:pPr>
      <w:rPr>
        <w:rFonts w:ascii="Wingdings" w:hAnsi="Wingdings" w:hint="default"/>
      </w:rPr>
    </w:lvl>
    <w:lvl w:ilvl="6" w:tplc="AED847FC" w:tentative="1">
      <w:start w:val="1"/>
      <w:numFmt w:val="bullet"/>
      <w:lvlText w:val=""/>
      <w:lvlJc w:val="left"/>
      <w:pPr>
        <w:tabs>
          <w:tab w:val="num" w:pos="5040"/>
        </w:tabs>
        <w:ind w:left="5040" w:hanging="360"/>
      </w:pPr>
      <w:rPr>
        <w:rFonts w:ascii="Symbol" w:hAnsi="Symbol" w:hint="default"/>
      </w:rPr>
    </w:lvl>
    <w:lvl w:ilvl="7" w:tplc="F122383A" w:tentative="1">
      <w:start w:val="1"/>
      <w:numFmt w:val="bullet"/>
      <w:lvlText w:val="o"/>
      <w:lvlJc w:val="left"/>
      <w:pPr>
        <w:tabs>
          <w:tab w:val="num" w:pos="5760"/>
        </w:tabs>
        <w:ind w:left="5760" w:hanging="360"/>
      </w:pPr>
      <w:rPr>
        <w:rFonts w:ascii="Courier New" w:hAnsi="Courier New" w:hint="default"/>
      </w:rPr>
    </w:lvl>
    <w:lvl w:ilvl="8" w:tplc="58C26E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74D79"/>
    <w:multiLevelType w:val="hybridMultilevel"/>
    <w:tmpl w:val="D07495B4"/>
    <w:lvl w:ilvl="0" w:tplc="B74A1CC4">
      <w:start w:val="1"/>
      <w:numFmt w:val="bullet"/>
      <w:lvlText w:val=""/>
      <w:lvlJc w:val="left"/>
      <w:pPr>
        <w:tabs>
          <w:tab w:val="num" w:pos="360"/>
        </w:tabs>
        <w:ind w:left="357" w:hanging="357"/>
      </w:pPr>
      <w:rPr>
        <w:rFonts w:ascii="Symbol" w:hAnsi="Symbol" w:hint="default"/>
      </w:rPr>
    </w:lvl>
    <w:lvl w:ilvl="1" w:tplc="CA9C4796" w:tentative="1">
      <w:start w:val="1"/>
      <w:numFmt w:val="bullet"/>
      <w:lvlText w:val="o"/>
      <w:lvlJc w:val="left"/>
      <w:pPr>
        <w:tabs>
          <w:tab w:val="num" w:pos="1440"/>
        </w:tabs>
        <w:ind w:left="1440" w:hanging="360"/>
      </w:pPr>
      <w:rPr>
        <w:rFonts w:ascii="Courier New" w:hAnsi="Courier New" w:hint="default"/>
      </w:rPr>
    </w:lvl>
    <w:lvl w:ilvl="2" w:tplc="9C8AD5BA" w:tentative="1">
      <w:start w:val="1"/>
      <w:numFmt w:val="bullet"/>
      <w:lvlText w:val=""/>
      <w:lvlJc w:val="left"/>
      <w:pPr>
        <w:tabs>
          <w:tab w:val="num" w:pos="2160"/>
        </w:tabs>
        <w:ind w:left="2160" w:hanging="360"/>
      </w:pPr>
      <w:rPr>
        <w:rFonts w:ascii="Wingdings" w:hAnsi="Wingdings" w:hint="default"/>
      </w:rPr>
    </w:lvl>
    <w:lvl w:ilvl="3" w:tplc="EBD4E9E0" w:tentative="1">
      <w:start w:val="1"/>
      <w:numFmt w:val="bullet"/>
      <w:lvlText w:val=""/>
      <w:lvlJc w:val="left"/>
      <w:pPr>
        <w:tabs>
          <w:tab w:val="num" w:pos="2880"/>
        </w:tabs>
        <w:ind w:left="2880" w:hanging="360"/>
      </w:pPr>
      <w:rPr>
        <w:rFonts w:ascii="Symbol" w:hAnsi="Symbol" w:hint="default"/>
      </w:rPr>
    </w:lvl>
    <w:lvl w:ilvl="4" w:tplc="C120653C" w:tentative="1">
      <w:start w:val="1"/>
      <w:numFmt w:val="bullet"/>
      <w:lvlText w:val="o"/>
      <w:lvlJc w:val="left"/>
      <w:pPr>
        <w:tabs>
          <w:tab w:val="num" w:pos="3600"/>
        </w:tabs>
        <w:ind w:left="3600" w:hanging="360"/>
      </w:pPr>
      <w:rPr>
        <w:rFonts w:ascii="Courier New" w:hAnsi="Courier New" w:hint="default"/>
      </w:rPr>
    </w:lvl>
    <w:lvl w:ilvl="5" w:tplc="144AC5D6" w:tentative="1">
      <w:start w:val="1"/>
      <w:numFmt w:val="bullet"/>
      <w:lvlText w:val=""/>
      <w:lvlJc w:val="left"/>
      <w:pPr>
        <w:tabs>
          <w:tab w:val="num" w:pos="4320"/>
        </w:tabs>
        <w:ind w:left="4320" w:hanging="360"/>
      </w:pPr>
      <w:rPr>
        <w:rFonts w:ascii="Wingdings" w:hAnsi="Wingdings" w:hint="default"/>
      </w:rPr>
    </w:lvl>
    <w:lvl w:ilvl="6" w:tplc="451CB81A" w:tentative="1">
      <w:start w:val="1"/>
      <w:numFmt w:val="bullet"/>
      <w:lvlText w:val=""/>
      <w:lvlJc w:val="left"/>
      <w:pPr>
        <w:tabs>
          <w:tab w:val="num" w:pos="5040"/>
        </w:tabs>
        <w:ind w:left="5040" w:hanging="360"/>
      </w:pPr>
      <w:rPr>
        <w:rFonts w:ascii="Symbol" w:hAnsi="Symbol" w:hint="default"/>
      </w:rPr>
    </w:lvl>
    <w:lvl w:ilvl="7" w:tplc="3ED4DE52" w:tentative="1">
      <w:start w:val="1"/>
      <w:numFmt w:val="bullet"/>
      <w:lvlText w:val="o"/>
      <w:lvlJc w:val="left"/>
      <w:pPr>
        <w:tabs>
          <w:tab w:val="num" w:pos="5760"/>
        </w:tabs>
        <w:ind w:left="5760" w:hanging="360"/>
      </w:pPr>
      <w:rPr>
        <w:rFonts w:ascii="Courier New" w:hAnsi="Courier New" w:hint="default"/>
      </w:rPr>
    </w:lvl>
    <w:lvl w:ilvl="8" w:tplc="81F883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067771"/>
    <w:multiLevelType w:val="hybridMultilevel"/>
    <w:tmpl w:val="D6947838"/>
    <w:lvl w:ilvl="0" w:tplc="578C1ABC">
      <w:start w:val="1"/>
      <w:numFmt w:val="bullet"/>
      <w:lvlText w:val=""/>
      <w:lvlJc w:val="left"/>
      <w:pPr>
        <w:tabs>
          <w:tab w:val="num" w:pos="360"/>
        </w:tabs>
        <w:ind w:left="357" w:hanging="357"/>
      </w:pPr>
      <w:rPr>
        <w:rFonts w:ascii="Symbol" w:hAnsi="Symbol" w:hint="default"/>
      </w:rPr>
    </w:lvl>
    <w:lvl w:ilvl="1" w:tplc="17F448AA" w:tentative="1">
      <w:start w:val="1"/>
      <w:numFmt w:val="bullet"/>
      <w:lvlText w:val="o"/>
      <w:lvlJc w:val="left"/>
      <w:pPr>
        <w:tabs>
          <w:tab w:val="num" w:pos="1440"/>
        </w:tabs>
        <w:ind w:left="1440" w:hanging="360"/>
      </w:pPr>
      <w:rPr>
        <w:rFonts w:ascii="Courier New" w:hAnsi="Courier New" w:hint="default"/>
      </w:rPr>
    </w:lvl>
    <w:lvl w:ilvl="2" w:tplc="15ACD26A" w:tentative="1">
      <w:start w:val="1"/>
      <w:numFmt w:val="bullet"/>
      <w:lvlText w:val=""/>
      <w:lvlJc w:val="left"/>
      <w:pPr>
        <w:tabs>
          <w:tab w:val="num" w:pos="2160"/>
        </w:tabs>
        <w:ind w:left="2160" w:hanging="360"/>
      </w:pPr>
      <w:rPr>
        <w:rFonts w:ascii="Wingdings" w:hAnsi="Wingdings" w:hint="default"/>
      </w:rPr>
    </w:lvl>
    <w:lvl w:ilvl="3" w:tplc="A3C66CC6" w:tentative="1">
      <w:start w:val="1"/>
      <w:numFmt w:val="bullet"/>
      <w:lvlText w:val=""/>
      <w:lvlJc w:val="left"/>
      <w:pPr>
        <w:tabs>
          <w:tab w:val="num" w:pos="2880"/>
        </w:tabs>
        <w:ind w:left="2880" w:hanging="360"/>
      </w:pPr>
      <w:rPr>
        <w:rFonts w:ascii="Symbol" w:hAnsi="Symbol" w:hint="default"/>
      </w:rPr>
    </w:lvl>
    <w:lvl w:ilvl="4" w:tplc="40B6F6D0" w:tentative="1">
      <w:start w:val="1"/>
      <w:numFmt w:val="bullet"/>
      <w:lvlText w:val="o"/>
      <w:lvlJc w:val="left"/>
      <w:pPr>
        <w:tabs>
          <w:tab w:val="num" w:pos="3600"/>
        </w:tabs>
        <w:ind w:left="3600" w:hanging="360"/>
      </w:pPr>
      <w:rPr>
        <w:rFonts w:ascii="Courier New" w:hAnsi="Courier New" w:hint="default"/>
      </w:rPr>
    </w:lvl>
    <w:lvl w:ilvl="5" w:tplc="3A8683D6" w:tentative="1">
      <w:start w:val="1"/>
      <w:numFmt w:val="bullet"/>
      <w:lvlText w:val=""/>
      <w:lvlJc w:val="left"/>
      <w:pPr>
        <w:tabs>
          <w:tab w:val="num" w:pos="4320"/>
        </w:tabs>
        <w:ind w:left="4320" w:hanging="360"/>
      </w:pPr>
      <w:rPr>
        <w:rFonts w:ascii="Wingdings" w:hAnsi="Wingdings" w:hint="default"/>
      </w:rPr>
    </w:lvl>
    <w:lvl w:ilvl="6" w:tplc="508C91D8" w:tentative="1">
      <w:start w:val="1"/>
      <w:numFmt w:val="bullet"/>
      <w:lvlText w:val=""/>
      <w:lvlJc w:val="left"/>
      <w:pPr>
        <w:tabs>
          <w:tab w:val="num" w:pos="5040"/>
        </w:tabs>
        <w:ind w:left="5040" w:hanging="360"/>
      </w:pPr>
      <w:rPr>
        <w:rFonts w:ascii="Symbol" w:hAnsi="Symbol" w:hint="default"/>
      </w:rPr>
    </w:lvl>
    <w:lvl w:ilvl="7" w:tplc="B7220220" w:tentative="1">
      <w:start w:val="1"/>
      <w:numFmt w:val="bullet"/>
      <w:lvlText w:val="o"/>
      <w:lvlJc w:val="left"/>
      <w:pPr>
        <w:tabs>
          <w:tab w:val="num" w:pos="5760"/>
        </w:tabs>
        <w:ind w:left="5760" w:hanging="360"/>
      </w:pPr>
      <w:rPr>
        <w:rFonts w:ascii="Courier New" w:hAnsi="Courier New" w:hint="default"/>
      </w:rPr>
    </w:lvl>
    <w:lvl w:ilvl="8" w:tplc="C9F2FF58" w:tentative="1">
      <w:start w:val="1"/>
      <w:numFmt w:val="bullet"/>
      <w:lvlText w:val=""/>
      <w:lvlJc w:val="left"/>
      <w:pPr>
        <w:tabs>
          <w:tab w:val="num" w:pos="6480"/>
        </w:tabs>
        <w:ind w:left="6480" w:hanging="360"/>
      </w:pPr>
      <w:rPr>
        <w:rFonts w:ascii="Wingdings" w:hAnsi="Wingdings" w:hint="default"/>
      </w:rPr>
    </w:lvl>
  </w:abstractNum>
  <w:num w:numId="1" w16cid:durableId="1855025137">
    <w:abstractNumId w:val="3"/>
  </w:num>
  <w:num w:numId="2" w16cid:durableId="981812129">
    <w:abstractNumId w:val="2"/>
  </w:num>
  <w:num w:numId="3" w16cid:durableId="711271527">
    <w:abstractNumId w:val="0"/>
  </w:num>
  <w:num w:numId="4" w16cid:durableId="1273782795">
    <w:abstractNumId w:val="4"/>
  </w:num>
  <w:num w:numId="5" w16cid:durableId="1452556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AF"/>
    <w:rsid w:val="00012303"/>
    <w:rsid w:val="00016A26"/>
    <w:rsid w:val="0002057B"/>
    <w:rsid w:val="00027C0A"/>
    <w:rsid w:val="000314FA"/>
    <w:rsid w:val="00034A29"/>
    <w:rsid w:val="000408AB"/>
    <w:rsid w:val="00047917"/>
    <w:rsid w:val="0005266C"/>
    <w:rsid w:val="000601D4"/>
    <w:rsid w:val="00065EDA"/>
    <w:rsid w:val="00065FE0"/>
    <w:rsid w:val="00090C17"/>
    <w:rsid w:val="000921F0"/>
    <w:rsid w:val="00093DBE"/>
    <w:rsid w:val="00097817"/>
    <w:rsid w:val="000C5C44"/>
    <w:rsid w:val="000C5F69"/>
    <w:rsid w:val="000E12ED"/>
    <w:rsid w:val="001117F2"/>
    <w:rsid w:val="00121186"/>
    <w:rsid w:val="00126B32"/>
    <w:rsid w:val="001305B4"/>
    <w:rsid w:val="001431E8"/>
    <w:rsid w:val="00144AE9"/>
    <w:rsid w:val="00161545"/>
    <w:rsid w:val="001661CD"/>
    <w:rsid w:val="00173E09"/>
    <w:rsid w:val="00184620"/>
    <w:rsid w:val="001B36DA"/>
    <w:rsid w:val="001B3C8A"/>
    <w:rsid w:val="001C062F"/>
    <w:rsid w:val="001C265C"/>
    <w:rsid w:val="001C2FE0"/>
    <w:rsid w:val="001C43D1"/>
    <w:rsid w:val="001D2529"/>
    <w:rsid w:val="001D351C"/>
    <w:rsid w:val="001D4905"/>
    <w:rsid w:val="001F0F73"/>
    <w:rsid w:val="001F1F34"/>
    <w:rsid w:val="001F6175"/>
    <w:rsid w:val="002105B2"/>
    <w:rsid w:val="00220A24"/>
    <w:rsid w:val="00221CBD"/>
    <w:rsid w:val="00230824"/>
    <w:rsid w:val="002330C9"/>
    <w:rsid w:val="00235F92"/>
    <w:rsid w:val="00240064"/>
    <w:rsid w:val="002654F7"/>
    <w:rsid w:val="002744CD"/>
    <w:rsid w:val="00287994"/>
    <w:rsid w:val="002C4797"/>
    <w:rsid w:val="002D3BF0"/>
    <w:rsid w:val="002E7D8E"/>
    <w:rsid w:val="002F2729"/>
    <w:rsid w:val="00315D65"/>
    <w:rsid w:val="0031795D"/>
    <w:rsid w:val="0032603E"/>
    <w:rsid w:val="003404B8"/>
    <w:rsid w:val="00355187"/>
    <w:rsid w:val="00365E3A"/>
    <w:rsid w:val="00377F7E"/>
    <w:rsid w:val="003B1022"/>
    <w:rsid w:val="003C03A6"/>
    <w:rsid w:val="003F5AE5"/>
    <w:rsid w:val="00410A52"/>
    <w:rsid w:val="00416326"/>
    <w:rsid w:val="00445BA0"/>
    <w:rsid w:val="00463F72"/>
    <w:rsid w:val="004650DD"/>
    <w:rsid w:val="00477DA5"/>
    <w:rsid w:val="00483F5E"/>
    <w:rsid w:val="004A00A8"/>
    <w:rsid w:val="004D28B4"/>
    <w:rsid w:val="004F7CDA"/>
    <w:rsid w:val="0051516E"/>
    <w:rsid w:val="005257E9"/>
    <w:rsid w:val="00532763"/>
    <w:rsid w:val="00546664"/>
    <w:rsid w:val="00546E00"/>
    <w:rsid w:val="00551AAD"/>
    <w:rsid w:val="005623F1"/>
    <w:rsid w:val="00590D79"/>
    <w:rsid w:val="005E791A"/>
    <w:rsid w:val="005F75FC"/>
    <w:rsid w:val="00625DDD"/>
    <w:rsid w:val="00626A29"/>
    <w:rsid w:val="00631A21"/>
    <w:rsid w:val="00634740"/>
    <w:rsid w:val="00636972"/>
    <w:rsid w:val="00653A6B"/>
    <w:rsid w:val="00686130"/>
    <w:rsid w:val="006A6B59"/>
    <w:rsid w:val="006B0422"/>
    <w:rsid w:val="006B5B0F"/>
    <w:rsid w:val="006B64B1"/>
    <w:rsid w:val="006C1231"/>
    <w:rsid w:val="006C7D4B"/>
    <w:rsid w:val="006D15D8"/>
    <w:rsid w:val="0070280D"/>
    <w:rsid w:val="00703C74"/>
    <w:rsid w:val="00727A63"/>
    <w:rsid w:val="00732BF6"/>
    <w:rsid w:val="00741057"/>
    <w:rsid w:val="00755C19"/>
    <w:rsid w:val="00760601"/>
    <w:rsid w:val="007830AC"/>
    <w:rsid w:val="007841CA"/>
    <w:rsid w:val="0078658C"/>
    <w:rsid w:val="007903C3"/>
    <w:rsid w:val="007B02DA"/>
    <w:rsid w:val="007B415A"/>
    <w:rsid w:val="007B644B"/>
    <w:rsid w:val="007C1740"/>
    <w:rsid w:val="007C7946"/>
    <w:rsid w:val="007D3BDD"/>
    <w:rsid w:val="007E762C"/>
    <w:rsid w:val="00800916"/>
    <w:rsid w:val="00820501"/>
    <w:rsid w:val="008214D8"/>
    <w:rsid w:val="00841DA2"/>
    <w:rsid w:val="008451FF"/>
    <w:rsid w:val="008509AE"/>
    <w:rsid w:val="00852273"/>
    <w:rsid w:val="008528FB"/>
    <w:rsid w:val="00862215"/>
    <w:rsid w:val="00875BC1"/>
    <w:rsid w:val="008808E5"/>
    <w:rsid w:val="00883A1D"/>
    <w:rsid w:val="0089410C"/>
    <w:rsid w:val="008A6BAD"/>
    <w:rsid w:val="008A71A5"/>
    <w:rsid w:val="008B070F"/>
    <w:rsid w:val="008C4202"/>
    <w:rsid w:val="008F0364"/>
    <w:rsid w:val="00903348"/>
    <w:rsid w:val="009040A4"/>
    <w:rsid w:val="00907A8A"/>
    <w:rsid w:val="009219CD"/>
    <w:rsid w:val="0093730C"/>
    <w:rsid w:val="009374B7"/>
    <w:rsid w:val="00937BC6"/>
    <w:rsid w:val="00956386"/>
    <w:rsid w:val="009824F4"/>
    <w:rsid w:val="00984BDE"/>
    <w:rsid w:val="00986748"/>
    <w:rsid w:val="00990604"/>
    <w:rsid w:val="009972B0"/>
    <w:rsid w:val="009B47A1"/>
    <w:rsid w:val="009B531B"/>
    <w:rsid w:val="009C5CD4"/>
    <w:rsid w:val="009E465E"/>
    <w:rsid w:val="009F0270"/>
    <w:rsid w:val="009F0394"/>
    <w:rsid w:val="00A03E83"/>
    <w:rsid w:val="00A06121"/>
    <w:rsid w:val="00A17B62"/>
    <w:rsid w:val="00A2251D"/>
    <w:rsid w:val="00A24052"/>
    <w:rsid w:val="00A4657D"/>
    <w:rsid w:val="00A54197"/>
    <w:rsid w:val="00A54FE2"/>
    <w:rsid w:val="00A61190"/>
    <w:rsid w:val="00A64046"/>
    <w:rsid w:val="00A66E30"/>
    <w:rsid w:val="00A76010"/>
    <w:rsid w:val="00A81A76"/>
    <w:rsid w:val="00A81B27"/>
    <w:rsid w:val="00A937FD"/>
    <w:rsid w:val="00A93986"/>
    <w:rsid w:val="00AA5355"/>
    <w:rsid w:val="00AB645E"/>
    <w:rsid w:val="00AD1A21"/>
    <w:rsid w:val="00AF5C14"/>
    <w:rsid w:val="00B32DB9"/>
    <w:rsid w:val="00B36D09"/>
    <w:rsid w:val="00B43374"/>
    <w:rsid w:val="00B524E1"/>
    <w:rsid w:val="00B57320"/>
    <w:rsid w:val="00B773B5"/>
    <w:rsid w:val="00B8143B"/>
    <w:rsid w:val="00B838CF"/>
    <w:rsid w:val="00B83913"/>
    <w:rsid w:val="00B9144C"/>
    <w:rsid w:val="00BA20B0"/>
    <w:rsid w:val="00BC1512"/>
    <w:rsid w:val="00BC32D9"/>
    <w:rsid w:val="00BE2341"/>
    <w:rsid w:val="00C00EAD"/>
    <w:rsid w:val="00C17E86"/>
    <w:rsid w:val="00C20541"/>
    <w:rsid w:val="00C301C9"/>
    <w:rsid w:val="00C308CD"/>
    <w:rsid w:val="00C30E47"/>
    <w:rsid w:val="00C47C1D"/>
    <w:rsid w:val="00C5325E"/>
    <w:rsid w:val="00C62ECC"/>
    <w:rsid w:val="00C84F04"/>
    <w:rsid w:val="00CA22F4"/>
    <w:rsid w:val="00CA2C59"/>
    <w:rsid w:val="00CA35AD"/>
    <w:rsid w:val="00CA4749"/>
    <w:rsid w:val="00CA70AD"/>
    <w:rsid w:val="00CB52F1"/>
    <w:rsid w:val="00CD045D"/>
    <w:rsid w:val="00CD6169"/>
    <w:rsid w:val="00CD67BC"/>
    <w:rsid w:val="00CE08ED"/>
    <w:rsid w:val="00D17BF6"/>
    <w:rsid w:val="00D24945"/>
    <w:rsid w:val="00D26827"/>
    <w:rsid w:val="00D32D58"/>
    <w:rsid w:val="00D3437F"/>
    <w:rsid w:val="00D42A7B"/>
    <w:rsid w:val="00D50070"/>
    <w:rsid w:val="00D50DDE"/>
    <w:rsid w:val="00D555D1"/>
    <w:rsid w:val="00D679BE"/>
    <w:rsid w:val="00D926A6"/>
    <w:rsid w:val="00DA451F"/>
    <w:rsid w:val="00DD195B"/>
    <w:rsid w:val="00DD6A03"/>
    <w:rsid w:val="00DF0952"/>
    <w:rsid w:val="00DF7913"/>
    <w:rsid w:val="00E1162F"/>
    <w:rsid w:val="00E11AFC"/>
    <w:rsid w:val="00E13C31"/>
    <w:rsid w:val="00E17E36"/>
    <w:rsid w:val="00E26781"/>
    <w:rsid w:val="00E45BE7"/>
    <w:rsid w:val="00E4661F"/>
    <w:rsid w:val="00E467E0"/>
    <w:rsid w:val="00E50216"/>
    <w:rsid w:val="00E55E71"/>
    <w:rsid w:val="00E76221"/>
    <w:rsid w:val="00E846FE"/>
    <w:rsid w:val="00EA1166"/>
    <w:rsid w:val="00EB0894"/>
    <w:rsid w:val="00EB37E0"/>
    <w:rsid w:val="00ED32AF"/>
    <w:rsid w:val="00EE27CC"/>
    <w:rsid w:val="00EE3F78"/>
    <w:rsid w:val="00EE7F8D"/>
    <w:rsid w:val="00EF2589"/>
    <w:rsid w:val="00F05AA4"/>
    <w:rsid w:val="00F13C0D"/>
    <w:rsid w:val="00F1442C"/>
    <w:rsid w:val="00F2621D"/>
    <w:rsid w:val="00F272E2"/>
    <w:rsid w:val="00F277E6"/>
    <w:rsid w:val="00F3362F"/>
    <w:rsid w:val="00F37286"/>
    <w:rsid w:val="00F41506"/>
    <w:rsid w:val="00F57B0F"/>
    <w:rsid w:val="00F653A7"/>
    <w:rsid w:val="00F758E9"/>
    <w:rsid w:val="00F808C2"/>
    <w:rsid w:val="00F92611"/>
    <w:rsid w:val="00FA2982"/>
    <w:rsid w:val="00FB2806"/>
    <w:rsid w:val="00FC43F8"/>
    <w:rsid w:val="00FD4FA9"/>
    <w:rsid w:val="00FD515E"/>
    <w:rsid w:val="00FD6132"/>
    <w:rsid w:val="02267C67"/>
    <w:rsid w:val="023D1D26"/>
    <w:rsid w:val="02776D58"/>
    <w:rsid w:val="04CA169F"/>
    <w:rsid w:val="05328E58"/>
    <w:rsid w:val="05E08D7B"/>
    <w:rsid w:val="06E46C13"/>
    <w:rsid w:val="074B0D26"/>
    <w:rsid w:val="08265228"/>
    <w:rsid w:val="086F70D7"/>
    <w:rsid w:val="0A20D49A"/>
    <w:rsid w:val="0A9277C1"/>
    <w:rsid w:val="0B14540E"/>
    <w:rsid w:val="0B8349D8"/>
    <w:rsid w:val="0BD60E3C"/>
    <w:rsid w:val="0C32B371"/>
    <w:rsid w:val="0C34DC67"/>
    <w:rsid w:val="0C78E8C7"/>
    <w:rsid w:val="0D4B44C8"/>
    <w:rsid w:val="0F36B3E2"/>
    <w:rsid w:val="0FD27EDE"/>
    <w:rsid w:val="1087CF6B"/>
    <w:rsid w:val="11FA7E8C"/>
    <w:rsid w:val="129D2BBD"/>
    <w:rsid w:val="1301F26D"/>
    <w:rsid w:val="1372FBA5"/>
    <w:rsid w:val="13E4C41D"/>
    <w:rsid w:val="14A7767E"/>
    <w:rsid w:val="17A2F07D"/>
    <w:rsid w:val="185C2B66"/>
    <w:rsid w:val="190F124A"/>
    <w:rsid w:val="1BC3E7BE"/>
    <w:rsid w:val="1C1F7DD1"/>
    <w:rsid w:val="1C752866"/>
    <w:rsid w:val="1C9C2123"/>
    <w:rsid w:val="1CD4CB78"/>
    <w:rsid w:val="1D3797D1"/>
    <w:rsid w:val="1EA860A1"/>
    <w:rsid w:val="1F3D0C63"/>
    <w:rsid w:val="209360EB"/>
    <w:rsid w:val="20A59BE5"/>
    <w:rsid w:val="20F2CABE"/>
    <w:rsid w:val="21199B67"/>
    <w:rsid w:val="212CFF1C"/>
    <w:rsid w:val="2392F36F"/>
    <w:rsid w:val="23E1012C"/>
    <w:rsid w:val="240CF153"/>
    <w:rsid w:val="24F8E339"/>
    <w:rsid w:val="25AB55E8"/>
    <w:rsid w:val="2677BAC9"/>
    <w:rsid w:val="2691F598"/>
    <w:rsid w:val="2695796B"/>
    <w:rsid w:val="29316416"/>
    <w:rsid w:val="2949C944"/>
    <w:rsid w:val="29EBAEF0"/>
    <w:rsid w:val="2A27FA87"/>
    <w:rsid w:val="2B365599"/>
    <w:rsid w:val="2B3A9FC9"/>
    <w:rsid w:val="2B4A0125"/>
    <w:rsid w:val="2CC16DCF"/>
    <w:rsid w:val="2DF11F86"/>
    <w:rsid w:val="2E14216A"/>
    <w:rsid w:val="2E1D83AF"/>
    <w:rsid w:val="2EAF3C65"/>
    <w:rsid w:val="2F0B4E34"/>
    <w:rsid w:val="2F6A2133"/>
    <w:rsid w:val="2FAF01F3"/>
    <w:rsid w:val="30558AF2"/>
    <w:rsid w:val="30CED361"/>
    <w:rsid w:val="35BE0362"/>
    <w:rsid w:val="361A0680"/>
    <w:rsid w:val="36A1611F"/>
    <w:rsid w:val="371BA1EF"/>
    <w:rsid w:val="3729C507"/>
    <w:rsid w:val="37B3EDAC"/>
    <w:rsid w:val="3999077D"/>
    <w:rsid w:val="39B271B8"/>
    <w:rsid w:val="3A8DED96"/>
    <w:rsid w:val="3CD2D694"/>
    <w:rsid w:val="3DBD11DE"/>
    <w:rsid w:val="3DF9AF46"/>
    <w:rsid w:val="3E7BDA41"/>
    <w:rsid w:val="41BF4BD0"/>
    <w:rsid w:val="43834290"/>
    <w:rsid w:val="43877317"/>
    <w:rsid w:val="438B1793"/>
    <w:rsid w:val="4461C8BC"/>
    <w:rsid w:val="44BB2670"/>
    <w:rsid w:val="451ACDE3"/>
    <w:rsid w:val="463A7971"/>
    <w:rsid w:val="47ADBABA"/>
    <w:rsid w:val="4868B592"/>
    <w:rsid w:val="48A07A27"/>
    <w:rsid w:val="495E3412"/>
    <w:rsid w:val="49E44815"/>
    <w:rsid w:val="4A0DDB9C"/>
    <w:rsid w:val="4B84AD84"/>
    <w:rsid w:val="4E5334EA"/>
    <w:rsid w:val="4E7A996D"/>
    <w:rsid w:val="4F705129"/>
    <w:rsid w:val="50F3A65D"/>
    <w:rsid w:val="518E874E"/>
    <w:rsid w:val="51BEFE2A"/>
    <w:rsid w:val="51E17312"/>
    <w:rsid w:val="531C34F0"/>
    <w:rsid w:val="533DA0D7"/>
    <w:rsid w:val="56081180"/>
    <w:rsid w:val="5674AB6E"/>
    <w:rsid w:val="56E72309"/>
    <w:rsid w:val="582930CF"/>
    <w:rsid w:val="594D9D7D"/>
    <w:rsid w:val="5AD863C9"/>
    <w:rsid w:val="5C86BE0C"/>
    <w:rsid w:val="5CE5317C"/>
    <w:rsid w:val="5D8E2784"/>
    <w:rsid w:val="5D9D6A07"/>
    <w:rsid w:val="6202AA30"/>
    <w:rsid w:val="62D8E5FB"/>
    <w:rsid w:val="65CAC685"/>
    <w:rsid w:val="67A8E860"/>
    <w:rsid w:val="69A7B54B"/>
    <w:rsid w:val="69B33895"/>
    <w:rsid w:val="69D888BA"/>
    <w:rsid w:val="6B94BF92"/>
    <w:rsid w:val="6E018419"/>
    <w:rsid w:val="6E790BAE"/>
    <w:rsid w:val="6EC484C7"/>
    <w:rsid w:val="6F448A8D"/>
    <w:rsid w:val="6F5B483A"/>
    <w:rsid w:val="700F0583"/>
    <w:rsid w:val="70209609"/>
    <w:rsid w:val="70A1783E"/>
    <w:rsid w:val="72845017"/>
    <w:rsid w:val="72CDFCB9"/>
    <w:rsid w:val="7312A1E9"/>
    <w:rsid w:val="73337CC2"/>
    <w:rsid w:val="7376BFC6"/>
    <w:rsid w:val="77C75C38"/>
    <w:rsid w:val="77D9EAEE"/>
    <w:rsid w:val="7A375736"/>
    <w:rsid w:val="7A5499E4"/>
    <w:rsid w:val="7A6B6664"/>
    <w:rsid w:val="7A72C6EB"/>
    <w:rsid w:val="7B3CA7F8"/>
    <w:rsid w:val="7C62EE6A"/>
    <w:rsid w:val="7FFB9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58957E8"/>
  <w15:chartTrackingRefBased/>
  <w15:docId w15:val="{D267F8E3-8215-4825-B818-346ACB0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lang w:val="en-GB" w:eastAsia="en-US"/>
    </w:rPr>
  </w:style>
  <w:style w:type="paragraph" w:styleId="Heading1">
    <w:name w:val="heading 1"/>
    <w:basedOn w:val="Normal"/>
    <w:next w:val="Normal"/>
    <w:link w:val="Heading1Char"/>
    <w:uiPriority w:val="9"/>
    <w:qFormat/>
    <w:rsid w:val="001D351C"/>
    <w:pPr>
      <w:keepNext/>
      <w:keepLines/>
      <w:spacing w:after="600"/>
      <w:outlineLvl w:val="0"/>
    </w:pPr>
    <w:rPr>
      <w:rFonts w:ascii="Calibri" w:hAnsi="Calibri"/>
      <w:bCs/>
      <w:color w:val="FFC000" w:themeColor="accent4"/>
      <w:sz w:val="60"/>
      <w:szCs w:val="28"/>
      <w:lang w:val="en-US"/>
    </w:rPr>
  </w:style>
  <w:style w:type="paragraph" w:styleId="Heading2">
    <w:name w:val="heading 2"/>
    <w:basedOn w:val="Normal"/>
    <w:next w:val="Normal"/>
    <w:link w:val="Heading2Char"/>
    <w:semiHidden/>
    <w:unhideWhenUsed/>
    <w:qFormat/>
    <w:rsid w:val="009824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9824F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E11A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C5325E"/>
    <w:rPr>
      <w:rFonts w:ascii="Tahoma" w:hAnsi="Tahoma" w:cs="Tahoma"/>
      <w:sz w:val="16"/>
      <w:szCs w:val="16"/>
    </w:rPr>
  </w:style>
  <w:style w:type="paragraph" w:styleId="Revision">
    <w:name w:val="Revision"/>
    <w:hidden/>
    <w:uiPriority w:val="99"/>
    <w:semiHidden/>
    <w:rsid w:val="00D32D58"/>
    <w:rPr>
      <w:color w:val="000000"/>
      <w:sz w:val="24"/>
      <w:lang w:val="en-GB" w:eastAsia="en-US"/>
    </w:rPr>
  </w:style>
  <w:style w:type="character" w:customStyle="1" w:styleId="Heading1Char">
    <w:name w:val="Heading 1 Char"/>
    <w:basedOn w:val="DefaultParagraphFont"/>
    <w:link w:val="Heading1"/>
    <w:uiPriority w:val="9"/>
    <w:rsid w:val="001D351C"/>
    <w:rPr>
      <w:rFonts w:ascii="Calibri" w:hAnsi="Calibri"/>
      <w:bCs/>
      <w:color w:val="FFC000" w:themeColor="accent4"/>
      <w:sz w:val="60"/>
      <w:szCs w:val="28"/>
      <w:lang w:eastAsia="en-US"/>
    </w:rPr>
  </w:style>
  <w:style w:type="character" w:customStyle="1" w:styleId="Heading2Char">
    <w:name w:val="Heading 2 Char"/>
    <w:basedOn w:val="DefaultParagraphFont"/>
    <w:link w:val="Heading2"/>
    <w:semiHidden/>
    <w:rsid w:val="009824F4"/>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9824F4"/>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basedOn w:val="DefaultParagraphFont"/>
    <w:link w:val="Heading4"/>
    <w:semiHidden/>
    <w:rsid w:val="00E11AFC"/>
    <w:rPr>
      <w:rFonts w:asciiTheme="majorHAnsi" w:eastAsiaTheme="majorEastAsia" w:hAnsiTheme="majorHAnsi" w:cstheme="majorBidi"/>
      <w:i/>
      <w:iCs/>
      <w:color w:val="2F5496" w:themeColor="accent1" w:themeShade="BF"/>
      <w:sz w:val="24"/>
      <w:lang w:val="en-GB" w:eastAsia="en-US"/>
    </w:rPr>
  </w:style>
  <w:style w:type="character" w:styleId="CommentReference">
    <w:name w:val="annotation reference"/>
    <w:basedOn w:val="DefaultParagraphFont"/>
    <w:uiPriority w:val="99"/>
    <w:unhideWhenUsed/>
    <w:rsid w:val="00E11AFC"/>
    <w:rPr>
      <w:sz w:val="16"/>
      <w:szCs w:val="16"/>
    </w:rPr>
  </w:style>
  <w:style w:type="paragraph" w:styleId="CommentText">
    <w:name w:val="annotation text"/>
    <w:basedOn w:val="Normal"/>
    <w:link w:val="CommentTextChar"/>
    <w:uiPriority w:val="99"/>
    <w:unhideWhenUsed/>
    <w:rsid w:val="00E11AFC"/>
    <w:pPr>
      <w:spacing w:after="160"/>
    </w:pPr>
    <w:rPr>
      <w:rFonts w:ascii="Calibri" w:eastAsia="Calibri" w:hAnsi="Calibri"/>
      <w:color w:val="2F2E2F"/>
      <w:sz w:val="20"/>
    </w:rPr>
  </w:style>
  <w:style w:type="character" w:customStyle="1" w:styleId="CommentTextChar">
    <w:name w:val="Comment Text Char"/>
    <w:basedOn w:val="DefaultParagraphFont"/>
    <w:link w:val="CommentText"/>
    <w:uiPriority w:val="99"/>
    <w:rsid w:val="00E11AFC"/>
    <w:rPr>
      <w:rFonts w:ascii="Calibri" w:eastAsia="Calibri" w:hAnsi="Calibri"/>
      <w:color w:val="2F2E2F"/>
      <w:lang w:val="en-GB" w:eastAsia="en-US"/>
    </w:rPr>
  </w:style>
  <w:style w:type="paragraph" w:styleId="ListParagraph">
    <w:name w:val="List Paragraph"/>
    <w:basedOn w:val="Normal"/>
    <w:uiPriority w:val="34"/>
    <w:qFormat/>
    <w:rsid w:val="007B644B"/>
    <w:pPr>
      <w:ind w:left="720"/>
      <w:contextualSpacing/>
    </w:pPr>
  </w:style>
  <w:style w:type="paragraph" w:styleId="CommentSubject">
    <w:name w:val="annotation subject"/>
    <w:basedOn w:val="CommentText"/>
    <w:next w:val="CommentText"/>
    <w:link w:val="CommentSubjectChar"/>
    <w:rsid w:val="009B531B"/>
    <w:pPr>
      <w:spacing w:after="0"/>
    </w:pPr>
    <w:rPr>
      <w:rFonts w:ascii="Times New Roman" w:eastAsia="Times New Roman" w:hAnsi="Times New Roman"/>
      <w:b/>
      <w:bCs/>
      <w:color w:val="000000"/>
    </w:rPr>
  </w:style>
  <w:style w:type="character" w:customStyle="1" w:styleId="CommentSubjectChar">
    <w:name w:val="Comment Subject Char"/>
    <w:basedOn w:val="CommentTextChar"/>
    <w:link w:val="CommentSubject"/>
    <w:rsid w:val="009B531B"/>
    <w:rPr>
      <w:rFonts w:ascii="Calibri" w:eastAsia="Calibri" w:hAnsi="Calibri"/>
      <w:b/>
      <w:bCs/>
      <w:color w:val="000000"/>
      <w:lang w:val="en-GB" w:eastAsia="en-US"/>
    </w:rPr>
  </w:style>
  <w:style w:type="character" w:styleId="FollowedHyperlink">
    <w:name w:val="FollowedHyperlink"/>
    <w:basedOn w:val="DefaultParagraphFont"/>
    <w:rsid w:val="001431E8"/>
    <w:rPr>
      <w:color w:val="954F72" w:themeColor="followedHyperlink"/>
      <w:u w:val="single"/>
    </w:rPr>
  </w:style>
  <w:style w:type="character" w:styleId="UnresolvedMention">
    <w:name w:val="Unresolved Mention"/>
    <w:basedOn w:val="DefaultParagraphFont"/>
    <w:uiPriority w:val="99"/>
    <w:semiHidden/>
    <w:unhideWhenUsed/>
    <w:rsid w:val="00E50216"/>
    <w:rPr>
      <w:color w:val="605E5C"/>
      <w:shd w:val="clear" w:color="auto" w:fill="E1DFDD"/>
    </w:rPr>
  </w:style>
  <w:style w:type="paragraph" w:customStyle="1" w:styleId="TableParagraph">
    <w:name w:val="Table Paragraph"/>
    <w:basedOn w:val="Normal"/>
    <w:uiPriority w:val="1"/>
    <w:qFormat/>
    <w:rsid w:val="004D28B4"/>
    <w:pPr>
      <w:widowControl w:val="0"/>
      <w:autoSpaceDE w:val="0"/>
      <w:autoSpaceDN w:val="0"/>
    </w:pPr>
    <w:rPr>
      <w:rFonts w:ascii="Arial" w:eastAsia="Arial" w:hAnsi="Arial" w:cs="Arial"/>
      <w:color w:val="auto"/>
      <w:sz w:val="22"/>
      <w:szCs w:val="22"/>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093DBE"/>
    <w:rP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72203">
      <w:bodyDiv w:val="1"/>
      <w:marLeft w:val="0"/>
      <w:marRight w:val="0"/>
      <w:marTop w:val="0"/>
      <w:marBottom w:val="0"/>
      <w:divBdr>
        <w:top w:val="none" w:sz="0" w:space="0" w:color="auto"/>
        <w:left w:val="none" w:sz="0" w:space="0" w:color="auto"/>
        <w:bottom w:val="none" w:sz="0" w:space="0" w:color="auto"/>
        <w:right w:val="none" w:sz="0" w:space="0" w:color="auto"/>
      </w:divBdr>
    </w:div>
    <w:div w:id="974867926">
      <w:bodyDiv w:val="1"/>
      <w:marLeft w:val="0"/>
      <w:marRight w:val="0"/>
      <w:marTop w:val="0"/>
      <w:marBottom w:val="0"/>
      <w:divBdr>
        <w:top w:val="none" w:sz="0" w:space="0" w:color="auto"/>
        <w:left w:val="none" w:sz="0" w:space="0" w:color="auto"/>
        <w:bottom w:val="none" w:sz="0" w:space="0" w:color="auto"/>
        <w:right w:val="none" w:sz="0" w:space="0" w:color="auto"/>
      </w:divBdr>
    </w:div>
    <w:div w:id="14266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ublichealthscotland.scot/publications/scottish-health-service-costs/scottish-health-service-costs-summary-for-financial-year-2022-to-2023/files-listing-2022-to-20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8CB08-DA27-4183-A18A-0B4AFF9D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8F9E1-4514-4FE5-9843-6E0944535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2699</Words>
  <Characters>14558</Characters>
  <Application>Microsoft Office Word</Application>
  <DocSecurity>0</DocSecurity>
  <Lines>121</Lines>
  <Paragraphs>34</Paragraphs>
  <ScaleCrop>false</ScaleCrop>
  <Company>MSD</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 document on economic submissions to the Scottish Medicines Consortium</dc:title>
  <dc:subject/>
  <dc:creator>MSD</dc:creator>
  <cp:keywords/>
  <cp:lastModifiedBy>Rosie Murray</cp:lastModifiedBy>
  <cp:revision>4</cp:revision>
  <cp:lastPrinted>2002-12-17T01:53:00Z</cp:lastPrinted>
  <dcterms:created xsi:type="dcterms:W3CDTF">2024-07-31T14:57:00Z</dcterms:created>
  <dcterms:modified xsi:type="dcterms:W3CDTF">2024-07-31T14:57:00Z</dcterms:modified>
</cp:coreProperties>
</file>